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4DC0C" w14:textId="77777777" w:rsidR="00680F60" w:rsidRPr="00D34107" w:rsidRDefault="00680F60" w:rsidP="00680F60">
      <w:pPr>
        <w:pStyle w:val="3"/>
        <w:ind w:firstLine="709"/>
        <w:jc w:val="center"/>
        <w:rPr>
          <w:b/>
          <w:color w:val="auto"/>
          <w:sz w:val="24"/>
        </w:rPr>
      </w:pPr>
      <w:r w:rsidRPr="00D34107">
        <w:rPr>
          <w:b/>
          <w:color w:val="auto"/>
          <w:sz w:val="24"/>
        </w:rPr>
        <w:t>Аналітична довідка</w:t>
      </w:r>
    </w:p>
    <w:p w14:paraId="042E6531" w14:textId="77777777" w:rsidR="00C46853" w:rsidRDefault="00680F60" w:rsidP="00D1478E">
      <w:pPr>
        <w:jc w:val="center"/>
      </w:pPr>
      <w:r w:rsidRPr="0065670B">
        <w:t>про підсумки роботи зі зверненнями громадян в Ізмаїльській районній державній</w:t>
      </w:r>
      <w:r w:rsidR="00F43DAE" w:rsidRPr="0065670B">
        <w:t xml:space="preserve"> (військовій) </w:t>
      </w:r>
      <w:r w:rsidRPr="0065670B">
        <w:t xml:space="preserve">адміністрації </w:t>
      </w:r>
      <w:r w:rsidR="00155A69" w:rsidRPr="0065670B">
        <w:t xml:space="preserve">Одеської області </w:t>
      </w:r>
      <w:r w:rsidRPr="0065670B">
        <w:t xml:space="preserve">та </w:t>
      </w:r>
      <w:r w:rsidR="00530D6C" w:rsidRPr="0065670B">
        <w:t xml:space="preserve">громадах Ізмаїльського району </w:t>
      </w:r>
    </w:p>
    <w:p w14:paraId="3BABEBE9" w14:textId="400DC435" w:rsidR="00D1478E" w:rsidRPr="0065670B" w:rsidRDefault="00176864" w:rsidP="00D1478E">
      <w:pPr>
        <w:jc w:val="center"/>
      </w:pPr>
      <w:r>
        <w:rPr>
          <w:b/>
        </w:rPr>
        <w:t xml:space="preserve">за </w:t>
      </w:r>
      <w:r w:rsidR="00C70A16" w:rsidRPr="00D34107">
        <w:rPr>
          <w:b/>
        </w:rPr>
        <w:t>2025</w:t>
      </w:r>
      <w:r>
        <w:rPr>
          <w:b/>
        </w:rPr>
        <w:t xml:space="preserve"> рік</w:t>
      </w:r>
      <w:r w:rsidR="00B15033" w:rsidRPr="00D34107">
        <w:rPr>
          <w:b/>
        </w:rPr>
        <w:t xml:space="preserve"> </w:t>
      </w:r>
      <w:r w:rsidR="00B15033" w:rsidRPr="0065670B">
        <w:t>в порівн</w:t>
      </w:r>
      <w:r w:rsidR="00C70A16" w:rsidRPr="0065670B">
        <w:t xml:space="preserve">янні </w:t>
      </w:r>
      <w:r>
        <w:t xml:space="preserve">з </w:t>
      </w:r>
      <w:r w:rsidR="00C70A16" w:rsidRPr="0065670B">
        <w:t>2024</w:t>
      </w:r>
      <w:r>
        <w:t xml:space="preserve"> роком</w:t>
      </w:r>
    </w:p>
    <w:p w14:paraId="4D862EDF" w14:textId="77777777" w:rsidR="00680F60" w:rsidRPr="0065670B" w:rsidRDefault="00680F60" w:rsidP="00843600">
      <w:pPr>
        <w:pStyle w:val="3"/>
        <w:ind w:firstLine="567"/>
        <w:jc w:val="center"/>
        <w:rPr>
          <w:color w:val="auto"/>
          <w:sz w:val="24"/>
        </w:rPr>
      </w:pPr>
    </w:p>
    <w:p w14:paraId="1BABD49E" w14:textId="0C9488C9" w:rsidR="00680F60" w:rsidRPr="0065670B" w:rsidRDefault="00680F60" w:rsidP="00843600">
      <w:pPr>
        <w:pStyle w:val="3"/>
        <w:ind w:firstLine="567"/>
        <w:rPr>
          <w:color w:val="auto"/>
          <w:sz w:val="24"/>
        </w:rPr>
      </w:pPr>
      <w:r w:rsidRPr="0065670B">
        <w:rPr>
          <w:color w:val="auto"/>
          <w:sz w:val="24"/>
        </w:rPr>
        <w:t>Ізмаїльська районна державна</w:t>
      </w:r>
      <w:r w:rsidR="00C006F4" w:rsidRPr="0065670B">
        <w:rPr>
          <w:color w:val="auto"/>
          <w:sz w:val="24"/>
        </w:rPr>
        <w:t xml:space="preserve"> (військова)</w:t>
      </w:r>
      <w:r w:rsidRPr="0065670B">
        <w:rPr>
          <w:color w:val="auto"/>
          <w:sz w:val="24"/>
        </w:rPr>
        <w:t xml:space="preserve"> адміністрація </w:t>
      </w:r>
      <w:r w:rsidR="00C006F4" w:rsidRPr="0065670B">
        <w:rPr>
          <w:color w:val="auto"/>
          <w:sz w:val="24"/>
        </w:rPr>
        <w:t xml:space="preserve">Одеської області </w:t>
      </w:r>
      <w:r w:rsidRPr="0065670B">
        <w:rPr>
          <w:color w:val="auto"/>
          <w:sz w:val="24"/>
        </w:rPr>
        <w:t xml:space="preserve">у своїй повсякденній роботі зі зверненнями громадян керується Законом України «Про звернення громадян», Регламентом </w:t>
      </w:r>
      <w:r w:rsidR="00276FDC" w:rsidRPr="0065670B">
        <w:rPr>
          <w:color w:val="auto"/>
          <w:sz w:val="24"/>
        </w:rPr>
        <w:t>Ізмаїльсько</w:t>
      </w:r>
      <w:r w:rsidR="00497CC5" w:rsidRPr="0065670B">
        <w:rPr>
          <w:color w:val="auto"/>
          <w:sz w:val="24"/>
        </w:rPr>
        <w:t xml:space="preserve">ї </w:t>
      </w:r>
      <w:r w:rsidR="00276FDC" w:rsidRPr="0065670B">
        <w:rPr>
          <w:color w:val="auto"/>
          <w:sz w:val="24"/>
        </w:rPr>
        <w:t>районної державної (військової</w:t>
      </w:r>
      <w:r w:rsidR="00C006F4" w:rsidRPr="0065670B">
        <w:rPr>
          <w:color w:val="auto"/>
          <w:sz w:val="24"/>
        </w:rPr>
        <w:t>)</w:t>
      </w:r>
      <w:r w:rsidR="00276FDC" w:rsidRPr="0065670B">
        <w:rPr>
          <w:color w:val="auto"/>
          <w:sz w:val="24"/>
        </w:rPr>
        <w:t xml:space="preserve"> адміністрації</w:t>
      </w:r>
      <w:r w:rsidR="00C006F4" w:rsidRPr="0065670B">
        <w:rPr>
          <w:color w:val="auto"/>
          <w:sz w:val="24"/>
        </w:rPr>
        <w:t xml:space="preserve"> Одеської області</w:t>
      </w:r>
      <w:r w:rsidRPr="0065670B">
        <w:rPr>
          <w:color w:val="auto"/>
          <w:sz w:val="24"/>
        </w:rPr>
        <w:t xml:space="preserve">, Положенням про відділ документообігу і контролю, посадовими інструкціями, виконує завдання, визначені  Указом Президента України від 7 лютого 2008 року №109/2008 </w:t>
      </w:r>
      <w:r w:rsidR="00AA141E">
        <w:rPr>
          <w:color w:val="auto"/>
          <w:sz w:val="24"/>
        </w:rPr>
        <w:t xml:space="preserve">                         </w:t>
      </w:r>
      <w:r w:rsidRPr="0065670B">
        <w:rPr>
          <w:color w:val="auto"/>
          <w:sz w:val="24"/>
        </w:rPr>
        <w:t>«Про першочергові заходи щодо забезпечення реалізації та гарантування конституційного права на звернення до органів державної влади та органів м</w:t>
      </w:r>
      <w:r w:rsidR="00F43DAE" w:rsidRPr="0065670B">
        <w:rPr>
          <w:color w:val="auto"/>
          <w:sz w:val="24"/>
        </w:rPr>
        <w:t>ісцевого самоврядування»</w:t>
      </w:r>
      <w:r w:rsidRPr="0065670B">
        <w:rPr>
          <w:color w:val="auto"/>
          <w:sz w:val="24"/>
        </w:rPr>
        <w:t>,  прийнятими на їх виконання розпорядженнями голів обласної та районної державних адміністрацій. Питання забезпечення прав і законних інтересів громадян є одним із пріоритетних напрямків діяльності Ізмаїльської районної державної</w:t>
      </w:r>
      <w:r w:rsidR="00155A69" w:rsidRPr="0065670B">
        <w:rPr>
          <w:color w:val="auto"/>
          <w:sz w:val="24"/>
        </w:rPr>
        <w:t xml:space="preserve"> (військової)</w:t>
      </w:r>
      <w:r w:rsidRPr="0065670B">
        <w:rPr>
          <w:color w:val="auto"/>
          <w:sz w:val="24"/>
        </w:rPr>
        <w:t xml:space="preserve"> адміністрації</w:t>
      </w:r>
      <w:r w:rsidR="00155A69" w:rsidRPr="0065670B">
        <w:rPr>
          <w:color w:val="auto"/>
          <w:sz w:val="24"/>
        </w:rPr>
        <w:t xml:space="preserve"> Одеської області</w:t>
      </w:r>
      <w:r w:rsidR="00414E5D">
        <w:rPr>
          <w:color w:val="auto"/>
          <w:sz w:val="24"/>
        </w:rPr>
        <w:t>, а також органів місцевого самоврядування Ізмаїльського району Одеської області.</w:t>
      </w:r>
    </w:p>
    <w:p w14:paraId="201E0B06" w14:textId="62F094C6" w:rsidR="0039428E" w:rsidRDefault="00EB5615" w:rsidP="00AA141E">
      <w:pPr>
        <w:pStyle w:val="3"/>
        <w:ind w:firstLine="567"/>
        <w:rPr>
          <w:color w:val="auto"/>
          <w:sz w:val="24"/>
        </w:rPr>
      </w:pPr>
      <w:r w:rsidRPr="008C1DFA">
        <w:rPr>
          <w:color w:val="auto"/>
          <w:sz w:val="24"/>
        </w:rPr>
        <w:t>Письмово</w:t>
      </w:r>
      <w:r w:rsidR="00680F60" w:rsidRPr="008C1DFA">
        <w:rPr>
          <w:color w:val="auto"/>
          <w:sz w:val="24"/>
        </w:rPr>
        <w:t xml:space="preserve"> до </w:t>
      </w:r>
      <w:r w:rsidR="004E196E" w:rsidRPr="008C1DFA">
        <w:rPr>
          <w:color w:val="auto"/>
          <w:sz w:val="24"/>
        </w:rPr>
        <w:t>Ізмаїльської районної державної (військової) адміністрації Одеської області</w:t>
      </w:r>
      <w:r w:rsidR="00680F60" w:rsidRPr="008C1DFA">
        <w:rPr>
          <w:color w:val="auto"/>
          <w:sz w:val="24"/>
        </w:rPr>
        <w:t xml:space="preserve"> </w:t>
      </w:r>
      <w:r w:rsidR="00EA73B8" w:rsidRPr="008C1DFA">
        <w:rPr>
          <w:color w:val="auto"/>
          <w:sz w:val="24"/>
        </w:rPr>
        <w:t xml:space="preserve">та громад Ізмаїльського району </w:t>
      </w:r>
      <w:r w:rsidR="00680F60" w:rsidRPr="008C1DFA">
        <w:rPr>
          <w:color w:val="auto"/>
          <w:sz w:val="24"/>
        </w:rPr>
        <w:t xml:space="preserve">протягом звітного періоду надійшло </w:t>
      </w:r>
      <w:r w:rsidR="00AA141E">
        <w:rPr>
          <w:color w:val="auto"/>
          <w:sz w:val="24"/>
        </w:rPr>
        <w:t>3193</w:t>
      </w:r>
      <w:r w:rsidR="00653E59" w:rsidRPr="008C1DFA">
        <w:rPr>
          <w:color w:val="auto"/>
          <w:sz w:val="24"/>
        </w:rPr>
        <w:t xml:space="preserve"> </w:t>
      </w:r>
      <w:r w:rsidR="00AA141E">
        <w:rPr>
          <w:color w:val="auto"/>
          <w:sz w:val="24"/>
        </w:rPr>
        <w:t>звернення</w:t>
      </w:r>
      <w:r w:rsidR="00744C0C" w:rsidRPr="008C1DFA">
        <w:rPr>
          <w:color w:val="auto"/>
          <w:sz w:val="24"/>
        </w:rPr>
        <w:t xml:space="preserve"> </w:t>
      </w:r>
      <w:r w:rsidR="008118DA" w:rsidRPr="008C1DFA">
        <w:rPr>
          <w:color w:val="auto"/>
          <w:sz w:val="24"/>
        </w:rPr>
        <w:t>(</w:t>
      </w:r>
      <w:r w:rsidR="00680F60" w:rsidRPr="008C1DFA">
        <w:rPr>
          <w:color w:val="auto"/>
          <w:sz w:val="24"/>
        </w:rPr>
        <w:t xml:space="preserve">з них </w:t>
      </w:r>
      <w:r w:rsidR="00414E5D">
        <w:rPr>
          <w:color w:val="auto"/>
          <w:sz w:val="24"/>
        </w:rPr>
        <w:t xml:space="preserve">              </w:t>
      </w:r>
      <w:r w:rsidR="00AA141E">
        <w:rPr>
          <w:color w:val="auto"/>
          <w:sz w:val="24"/>
        </w:rPr>
        <w:t>213</w:t>
      </w:r>
      <w:r w:rsidR="004E196E" w:rsidRPr="008C1DFA">
        <w:rPr>
          <w:color w:val="auto"/>
          <w:sz w:val="24"/>
        </w:rPr>
        <w:t xml:space="preserve"> </w:t>
      </w:r>
      <w:r w:rsidR="00680F60" w:rsidRPr="008C1DFA">
        <w:rPr>
          <w:color w:val="auto"/>
          <w:sz w:val="24"/>
        </w:rPr>
        <w:t>колективн</w:t>
      </w:r>
      <w:r w:rsidR="00F6325D" w:rsidRPr="008C1DFA">
        <w:rPr>
          <w:color w:val="auto"/>
          <w:sz w:val="24"/>
        </w:rPr>
        <w:t>их</w:t>
      </w:r>
      <w:r w:rsidRPr="008C1DFA">
        <w:rPr>
          <w:color w:val="auto"/>
          <w:sz w:val="24"/>
        </w:rPr>
        <w:t>)</w:t>
      </w:r>
      <w:r w:rsidR="00AA141E">
        <w:rPr>
          <w:color w:val="auto"/>
          <w:sz w:val="24"/>
        </w:rPr>
        <w:t>, в 2024 році</w:t>
      </w:r>
      <w:r w:rsidR="00BC1B87" w:rsidRPr="008C1DFA">
        <w:rPr>
          <w:color w:val="auto"/>
          <w:sz w:val="24"/>
        </w:rPr>
        <w:t xml:space="preserve"> – </w:t>
      </w:r>
      <w:r w:rsidR="00AA141E">
        <w:rPr>
          <w:color w:val="auto"/>
          <w:sz w:val="24"/>
        </w:rPr>
        <w:t>3</w:t>
      </w:r>
      <w:r w:rsidR="008C1DFA">
        <w:rPr>
          <w:color w:val="auto"/>
          <w:sz w:val="24"/>
        </w:rPr>
        <w:t>7</w:t>
      </w:r>
      <w:r w:rsidR="00AA141E">
        <w:rPr>
          <w:color w:val="auto"/>
          <w:sz w:val="24"/>
        </w:rPr>
        <w:t>38</w:t>
      </w:r>
      <w:r w:rsidR="006A47E8" w:rsidRPr="008C1DFA">
        <w:rPr>
          <w:color w:val="auto"/>
          <w:sz w:val="24"/>
        </w:rPr>
        <w:t xml:space="preserve"> (з них </w:t>
      </w:r>
      <w:r w:rsidR="00AA141E">
        <w:rPr>
          <w:color w:val="auto"/>
          <w:sz w:val="24"/>
        </w:rPr>
        <w:t>207</w:t>
      </w:r>
      <w:r w:rsidR="006A47E8" w:rsidRPr="008C1DFA">
        <w:rPr>
          <w:color w:val="auto"/>
          <w:sz w:val="24"/>
        </w:rPr>
        <w:t xml:space="preserve"> колективних)</w:t>
      </w:r>
      <w:r w:rsidR="00BC1B87" w:rsidRPr="008C1DFA">
        <w:rPr>
          <w:color w:val="auto"/>
          <w:sz w:val="24"/>
        </w:rPr>
        <w:t>, що на</w:t>
      </w:r>
      <w:r w:rsidR="00AA141E">
        <w:rPr>
          <w:color w:val="auto"/>
          <w:sz w:val="24"/>
        </w:rPr>
        <w:t xml:space="preserve"> 545</w:t>
      </w:r>
      <w:r w:rsidR="006A47E8" w:rsidRPr="008C1DFA">
        <w:rPr>
          <w:color w:val="auto"/>
          <w:sz w:val="24"/>
        </w:rPr>
        <w:t xml:space="preserve"> звернень</w:t>
      </w:r>
      <w:r w:rsidR="00BC1B87" w:rsidRPr="008C1DFA">
        <w:rPr>
          <w:color w:val="auto"/>
          <w:sz w:val="24"/>
        </w:rPr>
        <w:t xml:space="preserve"> менше.</w:t>
      </w:r>
    </w:p>
    <w:p w14:paraId="4CBC973C" w14:textId="11256D14" w:rsidR="008C1DFA" w:rsidRPr="008C1DFA" w:rsidRDefault="009D019B" w:rsidP="00843600">
      <w:pPr>
        <w:pStyle w:val="3"/>
        <w:ind w:firstLine="567"/>
        <w:rPr>
          <w:color w:val="auto"/>
          <w:sz w:val="24"/>
        </w:rPr>
      </w:pPr>
      <w:r>
        <w:rPr>
          <w:color w:val="auto"/>
          <w:sz w:val="24"/>
        </w:rPr>
        <w:t>На особистих прийомах, які були проведені к</w:t>
      </w:r>
      <w:r w:rsidRPr="0065670B">
        <w:rPr>
          <w:color w:val="auto"/>
          <w:sz w:val="24"/>
        </w:rPr>
        <w:t>ерівництвом Ізмаїльської районної державної (військової) адміністрації Одеської області та міських</w:t>
      </w:r>
      <w:r w:rsidR="00AA141E">
        <w:rPr>
          <w:color w:val="auto"/>
          <w:sz w:val="24"/>
        </w:rPr>
        <w:t>, селищної та  сільської рад за</w:t>
      </w:r>
      <w:r w:rsidRPr="0065670B">
        <w:rPr>
          <w:color w:val="auto"/>
          <w:sz w:val="24"/>
        </w:rPr>
        <w:t xml:space="preserve"> </w:t>
      </w:r>
      <w:r w:rsidR="00AA141E">
        <w:rPr>
          <w:bCs/>
          <w:color w:val="auto"/>
          <w:sz w:val="24"/>
        </w:rPr>
        <w:t>2025 рік</w:t>
      </w:r>
      <w:r w:rsidR="00414E5D">
        <w:rPr>
          <w:bCs/>
          <w:color w:val="auto"/>
          <w:sz w:val="24"/>
        </w:rPr>
        <w:t>,</w:t>
      </w:r>
      <w:r w:rsidRPr="0065670B">
        <w:rPr>
          <w:color w:val="auto"/>
          <w:sz w:val="24"/>
        </w:rPr>
        <w:t xml:space="preserve"> </w:t>
      </w:r>
      <w:r w:rsidR="00CA2E64">
        <w:rPr>
          <w:color w:val="auto"/>
          <w:sz w:val="24"/>
        </w:rPr>
        <w:t>прийнято 2989</w:t>
      </w:r>
      <w:bookmarkStart w:id="0" w:name="_GoBack"/>
      <w:bookmarkEnd w:id="0"/>
      <w:r w:rsidR="00AA141E">
        <w:rPr>
          <w:color w:val="auto"/>
          <w:sz w:val="24"/>
        </w:rPr>
        <w:t xml:space="preserve"> заяв</w:t>
      </w:r>
      <w:r w:rsidR="00F55D9C">
        <w:rPr>
          <w:color w:val="auto"/>
          <w:sz w:val="24"/>
        </w:rPr>
        <w:t xml:space="preserve">, </w:t>
      </w:r>
      <w:r w:rsidR="00AA141E">
        <w:rPr>
          <w:color w:val="auto"/>
          <w:sz w:val="24"/>
        </w:rPr>
        <w:t>в 2024 році</w:t>
      </w:r>
      <w:r w:rsidRPr="0065670B">
        <w:rPr>
          <w:color w:val="auto"/>
          <w:sz w:val="24"/>
        </w:rPr>
        <w:t xml:space="preserve"> –</w:t>
      </w:r>
      <w:r w:rsidR="00F55D9C">
        <w:rPr>
          <w:color w:val="auto"/>
          <w:sz w:val="24"/>
        </w:rPr>
        <w:t xml:space="preserve"> </w:t>
      </w:r>
      <w:r w:rsidR="00AA141E">
        <w:rPr>
          <w:color w:val="auto"/>
          <w:sz w:val="24"/>
        </w:rPr>
        <w:t>243</w:t>
      </w:r>
      <w:r w:rsidR="00F55D9C" w:rsidRPr="00062AD0">
        <w:rPr>
          <w:color w:val="auto"/>
          <w:sz w:val="24"/>
        </w:rPr>
        <w:t>2 заяви,</w:t>
      </w:r>
      <w:r w:rsidR="00F55D9C">
        <w:rPr>
          <w:b/>
          <w:color w:val="auto"/>
          <w:sz w:val="24"/>
        </w:rPr>
        <w:t xml:space="preserve"> </w:t>
      </w:r>
      <w:r w:rsidRPr="0065670B">
        <w:rPr>
          <w:color w:val="auto"/>
          <w:sz w:val="24"/>
        </w:rPr>
        <w:t xml:space="preserve">що на </w:t>
      </w:r>
      <w:r w:rsidR="00AA141E">
        <w:rPr>
          <w:color w:val="auto"/>
          <w:sz w:val="24"/>
        </w:rPr>
        <w:t>557</w:t>
      </w:r>
      <w:r w:rsidRPr="0065670B">
        <w:rPr>
          <w:color w:val="auto"/>
          <w:sz w:val="24"/>
        </w:rPr>
        <w:t xml:space="preserve"> </w:t>
      </w:r>
      <w:r w:rsidR="00062AD0">
        <w:rPr>
          <w:color w:val="auto"/>
          <w:sz w:val="24"/>
        </w:rPr>
        <w:t>заяв</w:t>
      </w:r>
      <w:r w:rsidRPr="0065670B">
        <w:rPr>
          <w:color w:val="auto"/>
          <w:sz w:val="24"/>
        </w:rPr>
        <w:t xml:space="preserve"> більше.</w:t>
      </w:r>
    </w:p>
    <w:p w14:paraId="3B999895" w14:textId="2E18B109" w:rsidR="0054135A" w:rsidRPr="0065670B" w:rsidRDefault="00EB5615" w:rsidP="00843600">
      <w:pPr>
        <w:tabs>
          <w:tab w:val="left" w:pos="567"/>
        </w:tabs>
        <w:ind w:firstLine="567"/>
        <w:jc w:val="both"/>
      </w:pPr>
      <w:r w:rsidRPr="0065670B">
        <w:t>Всього за звітний період</w:t>
      </w:r>
      <w:r w:rsidR="00843600">
        <w:t xml:space="preserve"> </w:t>
      </w:r>
      <w:r w:rsidR="00AA141E">
        <w:t>надійшло 6182</w:t>
      </w:r>
      <w:r w:rsidR="008C1DFA">
        <w:t xml:space="preserve"> звернення</w:t>
      </w:r>
      <w:r w:rsidR="00A17233" w:rsidRPr="0065670B">
        <w:t xml:space="preserve">, в </w:t>
      </w:r>
      <w:r w:rsidR="0039428E" w:rsidRPr="0065670B">
        <w:t>2024</w:t>
      </w:r>
      <w:r w:rsidR="00AA141E">
        <w:t xml:space="preserve"> році</w:t>
      </w:r>
      <w:r w:rsidR="00DC3674" w:rsidRPr="0065670B">
        <w:t xml:space="preserve"> </w:t>
      </w:r>
      <w:r w:rsidR="008E7AF3" w:rsidRPr="0065670B">
        <w:t>–</w:t>
      </w:r>
      <w:r w:rsidR="002F34F7" w:rsidRPr="0065670B">
        <w:t xml:space="preserve"> </w:t>
      </w:r>
      <w:r w:rsidR="00AA141E">
        <w:t>6170</w:t>
      </w:r>
      <w:r w:rsidR="008E7AF3" w:rsidRPr="0065670B">
        <w:t xml:space="preserve"> </w:t>
      </w:r>
      <w:r w:rsidR="00AA141E" w:rsidRPr="0065670B">
        <w:t>звернен</w:t>
      </w:r>
      <w:r w:rsidR="00AA141E">
        <w:t>ь</w:t>
      </w:r>
      <w:r w:rsidRPr="0065670B">
        <w:t>.</w:t>
      </w:r>
      <w:r w:rsidR="00680F60" w:rsidRPr="0065670B">
        <w:t xml:space="preserve"> </w:t>
      </w:r>
    </w:p>
    <w:p w14:paraId="0E7F56D6" w14:textId="18196339" w:rsidR="0054135A" w:rsidRPr="0065670B" w:rsidRDefault="0054135A" w:rsidP="00843600">
      <w:pPr>
        <w:tabs>
          <w:tab w:val="left" w:pos="567"/>
        </w:tabs>
        <w:ind w:firstLine="567"/>
        <w:jc w:val="both"/>
      </w:pPr>
      <w:r w:rsidRPr="0065670B">
        <w:t>Аналіз стану надходження звернень громадян за 202</w:t>
      </w:r>
      <w:r w:rsidRPr="0065670B">
        <w:rPr>
          <w:lang w:val="ru-RU"/>
        </w:rPr>
        <w:t>5</w:t>
      </w:r>
      <w:r w:rsidR="00AA141E">
        <w:t xml:space="preserve"> рік</w:t>
      </w:r>
      <w:r w:rsidRPr="0065670B">
        <w:t xml:space="preserve"> свідчить про те, що відбулося </w:t>
      </w:r>
      <w:r w:rsidR="008C1DFA">
        <w:t>збільшення</w:t>
      </w:r>
      <w:r w:rsidRPr="0065670B">
        <w:t xml:space="preserve"> звернень на </w:t>
      </w:r>
      <w:r w:rsidR="00F24698">
        <w:t>12</w:t>
      </w:r>
      <w:r w:rsidR="0065670B" w:rsidRPr="0065670B">
        <w:rPr>
          <w:lang w:val="ru-RU"/>
        </w:rPr>
        <w:t xml:space="preserve"> </w:t>
      </w:r>
      <w:r w:rsidR="0065670B" w:rsidRPr="0065670B">
        <w:t>звернень</w:t>
      </w:r>
      <w:r w:rsidRPr="0065670B">
        <w:t>.</w:t>
      </w:r>
    </w:p>
    <w:p w14:paraId="463306E4" w14:textId="2C380B89" w:rsidR="00680F60" w:rsidRPr="0065670B" w:rsidRDefault="00680F60" w:rsidP="00843600">
      <w:pPr>
        <w:tabs>
          <w:tab w:val="left" w:pos="709"/>
        </w:tabs>
        <w:ind w:firstLine="567"/>
        <w:jc w:val="both"/>
      </w:pPr>
      <w:r w:rsidRPr="0065670B">
        <w:rPr>
          <w:bCs/>
        </w:rPr>
        <w:t xml:space="preserve">Кількість громадян, які звернулись до </w:t>
      </w:r>
      <w:r w:rsidR="00D91C9A" w:rsidRPr="0065670B">
        <w:rPr>
          <w:bCs/>
        </w:rPr>
        <w:t>Ізмаїльської районної державної (військової)</w:t>
      </w:r>
      <w:r w:rsidR="00E45168" w:rsidRPr="0065670B">
        <w:rPr>
          <w:bCs/>
        </w:rPr>
        <w:t xml:space="preserve"> </w:t>
      </w:r>
      <w:r w:rsidRPr="0065670B">
        <w:rPr>
          <w:bCs/>
        </w:rPr>
        <w:t>адміністрації</w:t>
      </w:r>
      <w:r w:rsidR="00E45168" w:rsidRPr="0065670B">
        <w:rPr>
          <w:bCs/>
        </w:rPr>
        <w:t xml:space="preserve"> Одеської області</w:t>
      </w:r>
      <w:r w:rsidR="00EA73B8" w:rsidRPr="0065670B">
        <w:rPr>
          <w:bCs/>
        </w:rPr>
        <w:t xml:space="preserve"> та міських</w:t>
      </w:r>
      <w:r w:rsidRPr="0065670B">
        <w:rPr>
          <w:bCs/>
        </w:rPr>
        <w:t>,</w:t>
      </w:r>
      <w:r w:rsidR="00EA73B8" w:rsidRPr="0065670B">
        <w:rPr>
          <w:bCs/>
        </w:rPr>
        <w:t xml:space="preserve"> селищної та сільської рад </w:t>
      </w:r>
      <w:r w:rsidRPr="0065670B">
        <w:t>із врахуванням колективних звернень</w:t>
      </w:r>
      <w:r w:rsidR="00844535" w:rsidRPr="0065670B">
        <w:t xml:space="preserve"> </w:t>
      </w:r>
      <w:r w:rsidRPr="0065670B">
        <w:t>становить</w:t>
      </w:r>
      <w:r w:rsidR="00001875" w:rsidRPr="0065670B">
        <w:t xml:space="preserve"> </w:t>
      </w:r>
      <w:r w:rsidR="0099210D">
        <w:t xml:space="preserve">10176 громадян, в </w:t>
      </w:r>
      <w:r w:rsidR="00653E59" w:rsidRPr="0065670B">
        <w:t xml:space="preserve">2024 </w:t>
      </w:r>
      <w:r w:rsidR="0099210D">
        <w:t>році</w:t>
      </w:r>
      <w:r w:rsidR="00653E59" w:rsidRPr="0065670B">
        <w:t xml:space="preserve"> – </w:t>
      </w:r>
      <w:r w:rsidR="0099210D">
        <w:t>15903</w:t>
      </w:r>
      <w:r w:rsidR="00653E59" w:rsidRPr="0065670B">
        <w:t xml:space="preserve"> громадян</w:t>
      </w:r>
      <w:r w:rsidR="0099210D">
        <w:t>ина</w:t>
      </w:r>
      <w:r w:rsidR="00653E59" w:rsidRPr="0065670B">
        <w:t xml:space="preserve">, що на </w:t>
      </w:r>
      <w:r w:rsidR="00414E5D">
        <w:t xml:space="preserve">                </w:t>
      </w:r>
      <w:r w:rsidR="0099210D">
        <w:t>5727</w:t>
      </w:r>
      <w:r w:rsidR="00062AD0">
        <w:t xml:space="preserve"> гро</w:t>
      </w:r>
      <w:r w:rsidR="0039428E" w:rsidRPr="0065670B">
        <w:t>мадя</w:t>
      </w:r>
      <w:r w:rsidR="0099210D">
        <w:t>н</w:t>
      </w:r>
      <w:r w:rsidR="0039428E" w:rsidRPr="0065670B">
        <w:t xml:space="preserve"> </w:t>
      </w:r>
      <w:r w:rsidR="004A2936" w:rsidRPr="0065670B">
        <w:t>мен</w:t>
      </w:r>
      <w:r w:rsidR="004A2936">
        <w:t>ш</w:t>
      </w:r>
      <w:r w:rsidR="004A2936" w:rsidRPr="0065670B">
        <w:t>е</w:t>
      </w:r>
      <w:r w:rsidRPr="0065670B">
        <w:t>.</w:t>
      </w:r>
    </w:p>
    <w:p w14:paraId="2E9C26AE" w14:textId="2C106487" w:rsidR="00AA4CCE" w:rsidRPr="0065670B" w:rsidRDefault="00AA4CCE" w:rsidP="00843600">
      <w:pPr>
        <w:ind w:firstLine="567"/>
        <w:jc w:val="both"/>
      </w:pPr>
      <w:r w:rsidRPr="0065670B">
        <w:t xml:space="preserve">Найбільш актуальні питання, що відображаються у зверненнях громадян, за звітний період це: </w:t>
      </w:r>
    </w:p>
    <w:p w14:paraId="3784B07C" w14:textId="49414AEC" w:rsidR="00AA4CCE" w:rsidRPr="0065670B" w:rsidRDefault="00AA4CCE" w:rsidP="00AA4CCE">
      <w:pPr>
        <w:pStyle w:val="a3"/>
        <w:numPr>
          <w:ilvl w:val="0"/>
          <w:numId w:val="2"/>
        </w:numPr>
        <w:jc w:val="both"/>
      </w:pPr>
      <w:r w:rsidRPr="0065670B">
        <w:t xml:space="preserve">питання соціального захисту </w:t>
      </w:r>
      <w:r w:rsidR="00820D2E" w:rsidRPr="0065670B">
        <w:t>–</w:t>
      </w:r>
      <w:r w:rsidRPr="0065670B">
        <w:t xml:space="preserve"> </w:t>
      </w:r>
      <w:r w:rsidR="00396939">
        <w:t>1835</w:t>
      </w:r>
      <w:r w:rsidR="00820D2E" w:rsidRPr="0065670B">
        <w:t xml:space="preserve"> </w:t>
      </w:r>
      <w:r w:rsidR="00396939">
        <w:t>одиниці</w:t>
      </w:r>
      <w:r w:rsidR="008E7AF3" w:rsidRPr="0065670B">
        <w:t>,</w:t>
      </w:r>
      <w:r w:rsidR="004E196E" w:rsidRPr="0065670B">
        <w:t xml:space="preserve"> або</w:t>
      </w:r>
      <w:r w:rsidR="00C70A16" w:rsidRPr="0065670B">
        <w:t xml:space="preserve"> </w:t>
      </w:r>
      <w:r w:rsidR="0041780B">
        <w:t>29</w:t>
      </w:r>
      <w:r w:rsidR="00653E59" w:rsidRPr="0065670B">
        <w:t>,</w:t>
      </w:r>
      <w:r w:rsidR="00396939">
        <w:rPr>
          <w:lang w:val="ru-RU"/>
        </w:rPr>
        <w:t>68</w:t>
      </w:r>
      <w:r w:rsidR="004E196E" w:rsidRPr="0065670B">
        <w:t xml:space="preserve"> </w:t>
      </w:r>
      <w:r w:rsidRPr="0065670B">
        <w:t>%</w:t>
      </w:r>
      <w:r w:rsidRPr="0065670B">
        <w:rPr>
          <w:b/>
        </w:rPr>
        <w:t xml:space="preserve"> </w:t>
      </w:r>
      <w:r w:rsidRPr="0065670B">
        <w:t>від загальної кількості;</w:t>
      </w:r>
    </w:p>
    <w:p w14:paraId="787365A0" w14:textId="2D7FB113" w:rsidR="00AA4CCE" w:rsidRPr="0065670B" w:rsidRDefault="00AA4CCE" w:rsidP="0054135A">
      <w:pPr>
        <w:pStyle w:val="a3"/>
        <w:numPr>
          <w:ilvl w:val="0"/>
          <w:numId w:val="2"/>
        </w:numPr>
        <w:tabs>
          <w:tab w:val="left" w:pos="4253"/>
        </w:tabs>
        <w:jc w:val="both"/>
      </w:pPr>
      <w:r w:rsidRPr="0065670B">
        <w:t xml:space="preserve">питання аграрної політики </w:t>
      </w:r>
      <w:r w:rsidR="00653E59" w:rsidRPr="0065670B">
        <w:t xml:space="preserve">– </w:t>
      </w:r>
      <w:r w:rsidR="00396939">
        <w:t>1025</w:t>
      </w:r>
      <w:r w:rsidR="00AC5B93" w:rsidRPr="0065670B">
        <w:rPr>
          <w:lang w:val="ru-RU"/>
        </w:rPr>
        <w:t xml:space="preserve"> </w:t>
      </w:r>
      <w:r w:rsidR="004E196E" w:rsidRPr="0065670B">
        <w:t>одиниц</w:t>
      </w:r>
      <w:r w:rsidR="005D7BC0">
        <w:t>ь</w:t>
      </w:r>
      <w:r w:rsidR="004E196E" w:rsidRPr="0065670B">
        <w:t xml:space="preserve"> або </w:t>
      </w:r>
      <w:r w:rsidR="00396939">
        <w:t>16,58</w:t>
      </w:r>
      <w:r w:rsidRPr="0065670B">
        <w:t>%</w:t>
      </w:r>
      <w:r w:rsidRPr="0065670B">
        <w:rPr>
          <w:b/>
        </w:rPr>
        <w:t xml:space="preserve"> </w:t>
      </w:r>
      <w:r w:rsidRPr="0065670B">
        <w:t xml:space="preserve">від загальної </w:t>
      </w:r>
      <w:r w:rsidR="00276FDC" w:rsidRPr="0065670B">
        <w:t>кількості звернень</w:t>
      </w:r>
      <w:r w:rsidRPr="0065670B">
        <w:t>;</w:t>
      </w:r>
    </w:p>
    <w:p w14:paraId="7E0EB07E" w14:textId="6AD491FE" w:rsidR="00AA4CCE" w:rsidRPr="0065670B" w:rsidRDefault="00AA4CCE" w:rsidP="00AA4CCE">
      <w:pPr>
        <w:pStyle w:val="a3"/>
        <w:numPr>
          <w:ilvl w:val="0"/>
          <w:numId w:val="2"/>
        </w:numPr>
        <w:jc w:val="both"/>
      </w:pPr>
      <w:r w:rsidRPr="0065670B">
        <w:t>питання комунального госп</w:t>
      </w:r>
      <w:r w:rsidR="0060386A" w:rsidRPr="0065670B">
        <w:t xml:space="preserve">одарства – </w:t>
      </w:r>
      <w:r w:rsidR="00396939">
        <w:t>311</w:t>
      </w:r>
      <w:r w:rsidR="00AC5B93" w:rsidRPr="0065670B">
        <w:rPr>
          <w:lang w:val="ru-RU"/>
        </w:rPr>
        <w:t xml:space="preserve"> </w:t>
      </w:r>
      <w:r w:rsidR="00924691" w:rsidRPr="0065670B">
        <w:t>одиниц</w:t>
      </w:r>
      <w:r w:rsidR="00396939">
        <w:t>ь</w:t>
      </w:r>
      <w:r w:rsidR="0060386A" w:rsidRPr="0065670B">
        <w:t xml:space="preserve"> або</w:t>
      </w:r>
      <w:r w:rsidR="00C70A16" w:rsidRPr="0065670B">
        <w:t xml:space="preserve"> </w:t>
      </w:r>
      <w:r w:rsidR="00396939">
        <w:rPr>
          <w:lang w:val="ru-RU"/>
        </w:rPr>
        <w:t>5</w:t>
      </w:r>
      <w:r w:rsidR="00653E59" w:rsidRPr="0065670B">
        <w:rPr>
          <w:lang w:val="ru-RU"/>
        </w:rPr>
        <w:t>,</w:t>
      </w:r>
      <w:r w:rsidR="00396939">
        <w:rPr>
          <w:lang w:val="ru-RU"/>
        </w:rPr>
        <w:t>03</w:t>
      </w:r>
      <w:r w:rsidRPr="0065670B">
        <w:t>%</w:t>
      </w:r>
      <w:r w:rsidRPr="0065670B">
        <w:rPr>
          <w:b/>
        </w:rPr>
        <w:t xml:space="preserve"> </w:t>
      </w:r>
      <w:r w:rsidRPr="0065670B">
        <w:t>від</w:t>
      </w:r>
      <w:r w:rsidR="005E093A" w:rsidRPr="0065670B">
        <w:t xml:space="preserve"> загальної кількості звернень; </w:t>
      </w:r>
    </w:p>
    <w:p w14:paraId="1495DE44" w14:textId="581073ED" w:rsidR="00AA4CCE" w:rsidRPr="0065670B" w:rsidRDefault="0060386A" w:rsidP="00AA4CCE">
      <w:pPr>
        <w:pStyle w:val="a3"/>
        <w:numPr>
          <w:ilvl w:val="0"/>
          <w:numId w:val="2"/>
        </w:numPr>
        <w:jc w:val="both"/>
      </w:pPr>
      <w:r w:rsidRPr="0065670B">
        <w:t xml:space="preserve">житлова політика </w:t>
      </w:r>
      <w:r w:rsidR="0054135A" w:rsidRPr="0065670B">
        <w:t>–</w:t>
      </w:r>
      <w:r w:rsidRPr="0065670B">
        <w:t xml:space="preserve"> </w:t>
      </w:r>
      <w:r w:rsidR="00396939">
        <w:t>386</w:t>
      </w:r>
      <w:r w:rsidR="0054135A" w:rsidRPr="0065670B">
        <w:rPr>
          <w:lang w:val="ru-RU"/>
        </w:rPr>
        <w:t xml:space="preserve"> </w:t>
      </w:r>
      <w:r w:rsidR="0054135A" w:rsidRPr="0065670B">
        <w:t>одиниц</w:t>
      </w:r>
      <w:r w:rsidR="00396939">
        <w:t>ь</w:t>
      </w:r>
      <w:r w:rsidR="001B1362" w:rsidRPr="0065670B">
        <w:t xml:space="preserve"> або</w:t>
      </w:r>
      <w:r w:rsidR="00C70A16" w:rsidRPr="0065670B">
        <w:t xml:space="preserve"> </w:t>
      </w:r>
      <w:r w:rsidR="00396939">
        <w:t>6</w:t>
      </w:r>
      <w:r w:rsidR="005E093A" w:rsidRPr="0065670B">
        <w:t>,</w:t>
      </w:r>
      <w:r w:rsidR="00396939">
        <w:t>24</w:t>
      </w:r>
      <w:r w:rsidR="001B1362" w:rsidRPr="0065670B">
        <w:t xml:space="preserve"> </w:t>
      </w:r>
      <w:r w:rsidR="00AA4CCE" w:rsidRPr="0065670B">
        <w:t>% в</w:t>
      </w:r>
      <w:r w:rsidR="005E093A" w:rsidRPr="0065670B">
        <w:t>ід загальної кількості звернень;</w:t>
      </w:r>
    </w:p>
    <w:p w14:paraId="547CA05B" w14:textId="5016DDE0" w:rsidR="00CA37B3" w:rsidRPr="0065670B" w:rsidRDefault="005E093A" w:rsidP="005E093A">
      <w:pPr>
        <w:pStyle w:val="a3"/>
        <w:numPr>
          <w:ilvl w:val="0"/>
          <w:numId w:val="2"/>
        </w:numPr>
        <w:jc w:val="both"/>
      </w:pPr>
      <w:r w:rsidRPr="0065670B">
        <w:t xml:space="preserve">забезпечення дотримання законності та охорони правопорядку, запобігання дискримінації  </w:t>
      </w:r>
      <w:r w:rsidR="00C70A16" w:rsidRPr="0065670B">
        <w:t>-</w:t>
      </w:r>
      <w:r w:rsidR="00396939">
        <w:t xml:space="preserve"> 300</w:t>
      </w:r>
      <w:r w:rsidR="00C70A16" w:rsidRPr="0065670B">
        <w:t xml:space="preserve"> одиниц</w:t>
      </w:r>
      <w:r w:rsidR="005D7BC0">
        <w:t>ь</w:t>
      </w:r>
      <w:r w:rsidR="00C70A16" w:rsidRPr="0065670B">
        <w:t xml:space="preserve"> або </w:t>
      </w:r>
      <w:r w:rsidR="005E3E45">
        <w:t>4</w:t>
      </w:r>
      <w:r w:rsidRPr="0065670B">
        <w:t>,</w:t>
      </w:r>
      <w:r w:rsidR="00396939">
        <w:t>8</w:t>
      </w:r>
      <w:r w:rsidR="005E3E45">
        <w:t>5</w:t>
      </w:r>
      <w:r w:rsidR="00497CC5" w:rsidRPr="0065670B">
        <w:t xml:space="preserve"> </w:t>
      </w:r>
      <w:r w:rsidR="00924691" w:rsidRPr="0065670B">
        <w:t xml:space="preserve">% </w:t>
      </w:r>
      <w:r w:rsidR="00497CC5" w:rsidRPr="0065670B">
        <w:t>від загальної кількості звернень;</w:t>
      </w:r>
    </w:p>
    <w:p w14:paraId="4C20B21A" w14:textId="285B535B" w:rsidR="00AA4CCE" w:rsidRPr="0065670B" w:rsidRDefault="0060386A" w:rsidP="00AA4CCE">
      <w:pPr>
        <w:pStyle w:val="a3"/>
        <w:numPr>
          <w:ilvl w:val="0"/>
          <w:numId w:val="2"/>
        </w:numPr>
        <w:jc w:val="both"/>
      </w:pPr>
      <w:r w:rsidRPr="0065670B">
        <w:t>інші питання</w:t>
      </w:r>
      <w:r w:rsidR="00924691" w:rsidRPr="0065670B">
        <w:t xml:space="preserve"> </w:t>
      </w:r>
      <w:r w:rsidR="00AC5B93" w:rsidRPr="0065670B">
        <w:t>–</w:t>
      </w:r>
      <w:r w:rsidR="00820D2E" w:rsidRPr="0065670B">
        <w:t xml:space="preserve"> </w:t>
      </w:r>
      <w:r w:rsidR="005D7BC0">
        <w:t>1</w:t>
      </w:r>
      <w:r w:rsidR="00396939">
        <w:t>445</w:t>
      </w:r>
      <w:r w:rsidR="00AC5B93" w:rsidRPr="0065670B">
        <w:t xml:space="preserve"> </w:t>
      </w:r>
      <w:r w:rsidR="00924691" w:rsidRPr="0065670B">
        <w:t>одиниц</w:t>
      </w:r>
      <w:r w:rsidR="0041780B">
        <w:t>і</w:t>
      </w:r>
      <w:r w:rsidR="005D7BC0">
        <w:t xml:space="preserve"> </w:t>
      </w:r>
      <w:r w:rsidR="001B1362" w:rsidRPr="0065670B">
        <w:t>або</w:t>
      </w:r>
      <w:r w:rsidR="00C70A16" w:rsidRPr="0065670B">
        <w:t xml:space="preserve"> </w:t>
      </w:r>
      <w:r w:rsidR="00396939">
        <w:t>2</w:t>
      </w:r>
      <w:r w:rsidR="005E3E45">
        <w:t>3</w:t>
      </w:r>
      <w:r w:rsidR="005E093A" w:rsidRPr="0065670B">
        <w:t>,</w:t>
      </w:r>
      <w:r w:rsidR="00396939">
        <w:t>37</w:t>
      </w:r>
      <w:r w:rsidR="001B1362" w:rsidRPr="0065670B">
        <w:t xml:space="preserve"> </w:t>
      </w:r>
      <w:r w:rsidR="00AA4CCE" w:rsidRPr="0065670B">
        <w:t>%</w:t>
      </w:r>
      <w:r w:rsidR="00AA4CCE" w:rsidRPr="0065670B">
        <w:rPr>
          <w:b/>
        </w:rPr>
        <w:t xml:space="preserve"> </w:t>
      </w:r>
      <w:r w:rsidR="00AA4CCE" w:rsidRPr="0065670B">
        <w:t>від загальної кількості звернень.</w:t>
      </w:r>
    </w:p>
    <w:p w14:paraId="24B69A85" w14:textId="54131376" w:rsidR="00AA4CCE" w:rsidRPr="0065670B" w:rsidRDefault="00AA4CCE" w:rsidP="00AF38B5">
      <w:pPr>
        <w:ind w:firstLine="567"/>
        <w:jc w:val="both"/>
      </w:pPr>
      <w:r w:rsidRPr="0065670B">
        <w:t>Як свідчить аналіз</w:t>
      </w:r>
      <w:r w:rsidR="00F43DAE" w:rsidRPr="0065670B">
        <w:t>,</w:t>
      </w:r>
      <w:r w:rsidRPr="0065670B">
        <w:t xml:space="preserve"> у зверненнях громадян найчастіше </w:t>
      </w:r>
      <w:r w:rsidR="00276FDC" w:rsidRPr="0065670B">
        <w:t>ставляться</w:t>
      </w:r>
      <w:r w:rsidRPr="0065670B">
        <w:t xml:space="preserve"> питання соціального захисту - це питання отримання соціальних виплат, ви</w:t>
      </w:r>
      <w:r w:rsidR="005D7BC0">
        <w:t>плат ВПО, матеріальної допомоги</w:t>
      </w:r>
      <w:r w:rsidRPr="0065670B">
        <w:t xml:space="preserve"> та інше.</w:t>
      </w:r>
    </w:p>
    <w:p w14:paraId="0C52A57B" w14:textId="4481274A" w:rsidR="00AA4CCE" w:rsidRDefault="00007D9C" w:rsidP="00AF38B5">
      <w:pPr>
        <w:spacing w:after="3" w:line="256" w:lineRule="auto"/>
        <w:ind w:firstLine="567"/>
        <w:jc w:val="both"/>
      </w:pPr>
      <w:r>
        <w:t>На другому місці,</w:t>
      </w:r>
      <w:r w:rsidR="00AA4CCE" w:rsidRPr="0065670B">
        <w:t xml:space="preserve"> за кількістю, знаходяться питання аграрно</w:t>
      </w:r>
      <w:r w:rsidR="00F43DAE" w:rsidRPr="0065670B">
        <w:t>ї політики і земельних відносин</w:t>
      </w:r>
      <w:r w:rsidR="00AA4CCE" w:rsidRPr="0065670B">
        <w:t xml:space="preserve">. Значна кількість питань земельних відносин - це питання щодо </w:t>
      </w:r>
      <w:r w:rsidR="00564A3A">
        <w:t>розроблення та затвердження проєктів землеустрою, врегулювання земельних відносин, оформлення земельних ділянок для ведення особистого селянського господарства</w:t>
      </w:r>
      <w:r w:rsidR="00AA4CCE" w:rsidRPr="0065670B">
        <w:t xml:space="preserve">. </w:t>
      </w:r>
    </w:p>
    <w:p w14:paraId="1639EC00" w14:textId="0A1F0FBA" w:rsidR="00190FB7" w:rsidRPr="00AF38B5" w:rsidRDefault="00E32280" w:rsidP="00AF38B5">
      <w:pPr>
        <w:tabs>
          <w:tab w:val="left" w:pos="567"/>
        </w:tabs>
        <w:ind w:firstLine="567"/>
        <w:jc w:val="both"/>
      </w:pPr>
      <w:r w:rsidRPr="0065670B">
        <w:t>До</w:t>
      </w:r>
      <w:r w:rsidR="00AA4CCE" w:rsidRPr="0065670B">
        <w:t xml:space="preserve"> трійки найпоширеніших питань</w:t>
      </w:r>
      <w:r w:rsidRPr="0065670B">
        <w:t xml:space="preserve"> входять</w:t>
      </w:r>
      <w:r w:rsidR="00AA4CCE" w:rsidRPr="0065670B">
        <w:t xml:space="preserve"> - питання</w:t>
      </w:r>
      <w:r w:rsidRPr="0065670B">
        <w:t xml:space="preserve"> житлово-</w:t>
      </w:r>
      <w:r w:rsidR="00AA4CCE" w:rsidRPr="0065670B">
        <w:t xml:space="preserve">комунального господарства: вартість та якість комунальних послуг, які надаються, ремонт доріг, </w:t>
      </w:r>
      <w:r w:rsidR="00564A3A">
        <w:t>благоустрій прибудинкових територій</w:t>
      </w:r>
      <w:r w:rsidR="00AF38B5">
        <w:t xml:space="preserve">, експлуатація </w:t>
      </w:r>
      <w:r w:rsidR="00AA4CCE" w:rsidRPr="0065670B">
        <w:t>будинків.</w:t>
      </w:r>
    </w:p>
    <w:p w14:paraId="5E261475" w14:textId="3D932B5C" w:rsidR="00AA4CCE" w:rsidRDefault="00007D9C" w:rsidP="00AF38B5">
      <w:pPr>
        <w:ind w:firstLine="567"/>
        <w:jc w:val="both"/>
        <w:rPr>
          <w:color w:val="000000"/>
          <w:shd w:val="clear" w:color="auto" w:fill="FFFFFF"/>
        </w:rPr>
      </w:pPr>
      <w:r>
        <w:rPr>
          <w:bCs/>
        </w:rPr>
        <w:t>Також за</w:t>
      </w:r>
      <w:r w:rsidR="00C70A16">
        <w:rPr>
          <w:bCs/>
        </w:rPr>
        <w:t xml:space="preserve"> 202</w:t>
      </w:r>
      <w:r w:rsidR="00C70A16" w:rsidRPr="00C70A16">
        <w:rPr>
          <w:bCs/>
        </w:rPr>
        <w:t>5</w:t>
      </w:r>
      <w:r>
        <w:rPr>
          <w:bCs/>
        </w:rPr>
        <w:t xml:space="preserve"> рік</w:t>
      </w:r>
      <w:r w:rsidR="00AA4CCE" w:rsidRPr="00AA4CCE">
        <w:rPr>
          <w:bCs/>
        </w:rPr>
        <w:t xml:space="preserve"> до Ізмаїльської районної державної</w:t>
      </w:r>
      <w:r w:rsidR="00155A69">
        <w:rPr>
          <w:bCs/>
        </w:rPr>
        <w:t xml:space="preserve"> (військової) </w:t>
      </w:r>
      <w:r w:rsidR="00155A69" w:rsidRPr="00AA4CCE">
        <w:rPr>
          <w:bCs/>
        </w:rPr>
        <w:t>адміністрації</w:t>
      </w:r>
      <w:r w:rsidR="00155A69">
        <w:rPr>
          <w:bCs/>
        </w:rPr>
        <w:t xml:space="preserve"> Одеської області</w:t>
      </w:r>
      <w:r w:rsidR="00497CC5">
        <w:rPr>
          <w:bCs/>
        </w:rPr>
        <w:t xml:space="preserve"> </w:t>
      </w:r>
      <w:r w:rsidR="00AF38B5">
        <w:t>та міських, селищної та</w:t>
      </w:r>
      <w:r w:rsidR="00497CC5" w:rsidRPr="008E7AF3">
        <w:t xml:space="preserve"> сільської рад</w:t>
      </w:r>
      <w:r w:rsidR="00AA4CCE" w:rsidRPr="00AA4CCE">
        <w:rPr>
          <w:bCs/>
        </w:rPr>
        <w:t xml:space="preserve"> </w:t>
      </w:r>
      <w:r w:rsidR="00AA4CCE" w:rsidRPr="00AA4CCE">
        <w:t xml:space="preserve">через </w:t>
      </w:r>
      <w:r w:rsidR="00AA4CCE" w:rsidRPr="00AA4CCE">
        <w:rPr>
          <w:color w:val="000000"/>
          <w:shd w:val="clear" w:color="auto" w:fill="FFFFFF"/>
        </w:rPr>
        <w:t>Регіональний контактний центр Одеської області надійшло</w:t>
      </w:r>
      <w:r w:rsidR="00DC40E0" w:rsidRPr="00DC40E0">
        <w:rPr>
          <w:color w:val="000000"/>
          <w:shd w:val="clear" w:color="auto" w:fill="FFFFFF"/>
        </w:rPr>
        <w:t xml:space="preserve"> </w:t>
      </w:r>
      <w:r w:rsidR="001D26CD">
        <w:rPr>
          <w:bCs/>
          <w:shd w:val="clear" w:color="auto" w:fill="FFFFFF"/>
        </w:rPr>
        <w:t>299</w:t>
      </w:r>
      <w:r w:rsidR="00AA4CCE" w:rsidRPr="00564A3A">
        <w:rPr>
          <w:color w:val="FF0000"/>
          <w:shd w:val="clear" w:color="auto" w:fill="FFFFFF"/>
        </w:rPr>
        <w:t xml:space="preserve"> </w:t>
      </w:r>
      <w:r w:rsidR="00AA4CCE" w:rsidRPr="00AA4CCE">
        <w:rPr>
          <w:color w:val="000000"/>
          <w:shd w:val="clear" w:color="auto" w:fill="FFFFFF"/>
        </w:rPr>
        <w:t>звернен</w:t>
      </w:r>
      <w:r w:rsidR="00AC5B93" w:rsidRPr="00AC5B93">
        <w:rPr>
          <w:color w:val="000000"/>
          <w:shd w:val="clear" w:color="auto" w:fill="FFFFFF"/>
        </w:rPr>
        <w:t>ь</w:t>
      </w:r>
      <w:r w:rsidR="00AA4CCE" w:rsidRPr="00AA4CCE">
        <w:rPr>
          <w:color w:val="000000"/>
          <w:shd w:val="clear" w:color="auto" w:fill="FFFFFF"/>
        </w:rPr>
        <w:t>.</w:t>
      </w:r>
    </w:p>
    <w:p w14:paraId="75EBA66A" w14:textId="77777777" w:rsidR="003F3554" w:rsidRDefault="003F3554" w:rsidP="00AF38B5">
      <w:pPr>
        <w:ind w:firstLine="567"/>
        <w:jc w:val="both"/>
      </w:pPr>
    </w:p>
    <w:p w14:paraId="15887E7E" w14:textId="77777777" w:rsidR="00176864" w:rsidRDefault="003F3554" w:rsidP="003F3554">
      <w:pPr>
        <w:jc w:val="center"/>
      </w:pPr>
      <w:r w:rsidRPr="00AB2EE7">
        <w:lastRenderedPageBreak/>
        <w:t>Порівняльна таблиця звернень</w:t>
      </w:r>
      <w:r>
        <w:t xml:space="preserve"> (тематика питань)</w:t>
      </w:r>
      <w:r w:rsidRPr="00AB2EE7">
        <w:t>, які</w:t>
      </w:r>
      <w:r w:rsidRPr="00AB2EE7">
        <w:rPr>
          <w:bCs/>
        </w:rPr>
        <w:t xml:space="preserve"> </w:t>
      </w:r>
      <w:r>
        <w:rPr>
          <w:bCs/>
        </w:rPr>
        <w:t xml:space="preserve">надійшли </w:t>
      </w:r>
      <w:r w:rsidRPr="00AA4CCE">
        <w:rPr>
          <w:bCs/>
        </w:rPr>
        <w:t>до Ізмаїльської районної державної</w:t>
      </w:r>
      <w:r>
        <w:rPr>
          <w:bCs/>
        </w:rPr>
        <w:t xml:space="preserve"> (військової) </w:t>
      </w:r>
      <w:r w:rsidRPr="00AA4CCE">
        <w:rPr>
          <w:bCs/>
        </w:rPr>
        <w:t>адміністрації</w:t>
      </w:r>
      <w:r>
        <w:rPr>
          <w:bCs/>
        </w:rPr>
        <w:t xml:space="preserve"> Одеської області </w:t>
      </w:r>
      <w:r w:rsidR="00AF38B5">
        <w:t xml:space="preserve">та міських, селищної та </w:t>
      </w:r>
      <w:r w:rsidRPr="008E7AF3">
        <w:t>сільської рад</w:t>
      </w:r>
    </w:p>
    <w:p w14:paraId="6C5C2F82" w14:textId="6CFE487D" w:rsidR="003F3554" w:rsidRDefault="003F3554" w:rsidP="003F3554">
      <w:pPr>
        <w:jc w:val="center"/>
      </w:pPr>
      <w:r>
        <w:t xml:space="preserve"> </w:t>
      </w:r>
      <w:r w:rsidR="00224AD9" w:rsidRPr="00AF38B5">
        <w:rPr>
          <w:b/>
        </w:rPr>
        <w:t>за</w:t>
      </w:r>
      <w:r w:rsidRPr="00AF38B5">
        <w:rPr>
          <w:b/>
        </w:rPr>
        <w:t xml:space="preserve"> 2025</w:t>
      </w:r>
      <w:r>
        <w:t xml:space="preserve"> в порівнянні з </w:t>
      </w:r>
      <w:r w:rsidR="00176864">
        <w:t>2024 роком</w:t>
      </w:r>
    </w:p>
    <w:p w14:paraId="722FE15D" w14:textId="31E593AA" w:rsidR="0056184D" w:rsidRDefault="0056184D" w:rsidP="003F3554">
      <w:pPr>
        <w:jc w:val="center"/>
      </w:pPr>
    </w:p>
    <w:p w14:paraId="4F5EA35E" w14:textId="0471F274" w:rsidR="0056184D" w:rsidRDefault="0056184D" w:rsidP="003F3554">
      <w:pPr>
        <w:jc w:val="center"/>
      </w:pPr>
      <w:r>
        <w:rPr>
          <w:noProof/>
          <w:lang w:eastAsia="uk-UA"/>
        </w:rPr>
        <w:drawing>
          <wp:inline distT="0" distB="0" distL="0" distR="0" wp14:anchorId="226EECF6" wp14:editId="5C17E727">
            <wp:extent cx="6080760" cy="5935980"/>
            <wp:effectExtent l="0" t="0" r="15240" b="762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2DAC9E6" w14:textId="77777777" w:rsidR="0056184D" w:rsidRPr="00AA4CCE" w:rsidRDefault="0056184D" w:rsidP="003F3554">
      <w:pPr>
        <w:jc w:val="center"/>
      </w:pPr>
    </w:p>
    <w:p w14:paraId="7B936B77" w14:textId="6CCC4E85" w:rsidR="00AA4CCE" w:rsidRDefault="00AA4CCE" w:rsidP="00AF38B5">
      <w:pPr>
        <w:spacing w:after="3" w:line="256" w:lineRule="auto"/>
      </w:pPr>
    </w:p>
    <w:p w14:paraId="33474880" w14:textId="77777777" w:rsidR="00224AD9" w:rsidRPr="00646180" w:rsidRDefault="00224AD9" w:rsidP="00A17233">
      <w:pPr>
        <w:tabs>
          <w:tab w:val="left" w:pos="709"/>
        </w:tabs>
        <w:jc w:val="both"/>
      </w:pPr>
    </w:p>
    <w:p w14:paraId="618EA5AC" w14:textId="6230715C" w:rsidR="00976E19" w:rsidRDefault="0013434F" w:rsidP="00EA73B8">
      <w:pPr>
        <w:jc w:val="both"/>
        <w:rPr>
          <w:noProof/>
          <w:sz w:val="22"/>
          <w:szCs w:val="22"/>
        </w:rPr>
      </w:pPr>
      <w:r w:rsidRPr="00530D6C">
        <w:rPr>
          <w:noProof/>
          <w:sz w:val="22"/>
          <w:szCs w:val="22"/>
        </w:rPr>
        <w:t xml:space="preserve"> </w:t>
      </w:r>
    </w:p>
    <w:p w14:paraId="7779BD12" w14:textId="1CA6E378" w:rsidR="006F0FA2" w:rsidRPr="0071165B" w:rsidRDefault="006F0FA2" w:rsidP="00EA73B8">
      <w:pPr>
        <w:jc w:val="both"/>
        <w:rPr>
          <w:sz w:val="22"/>
          <w:szCs w:val="22"/>
        </w:rPr>
      </w:pPr>
      <w:r>
        <w:rPr>
          <w:noProof/>
          <w:lang w:eastAsia="uk-UA"/>
        </w:rPr>
        <w:lastRenderedPageBreak/>
        <w:drawing>
          <wp:inline distT="0" distB="0" distL="0" distR="0" wp14:anchorId="49713295" wp14:editId="3A23CEC0">
            <wp:extent cx="4785361" cy="3832861"/>
            <wp:effectExtent l="0" t="0" r="15240" b="152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87691A0" w14:textId="4FA0FEDC" w:rsidR="004130E7" w:rsidRDefault="002F34F7" w:rsidP="00F3179C">
      <w:pPr>
        <w:spacing w:after="3" w:line="256" w:lineRule="auto"/>
        <w:rPr>
          <w:sz w:val="22"/>
          <w:szCs w:val="22"/>
        </w:rPr>
      </w:pPr>
      <w:r>
        <w:rPr>
          <w:sz w:val="22"/>
          <w:szCs w:val="22"/>
        </w:rPr>
        <w:t xml:space="preserve">    </w:t>
      </w:r>
    </w:p>
    <w:p w14:paraId="37BD6E4F" w14:textId="14A8504B" w:rsidR="004130E7" w:rsidRDefault="00F6191C" w:rsidP="00F3179C">
      <w:pPr>
        <w:spacing w:after="3" w:line="256" w:lineRule="auto"/>
        <w:rPr>
          <w:noProof/>
          <w:lang w:eastAsia="uk-UA"/>
        </w:rPr>
      </w:pPr>
      <w:r>
        <w:rPr>
          <w:noProof/>
          <w:lang w:eastAsia="uk-UA"/>
        </w:rPr>
        <w:drawing>
          <wp:inline distT="0" distB="0" distL="0" distR="0" wp14:anchorId="181CFAA8" wp14:editId="70E231FB">
            <wp:extent cx="5372101" cy="4816793"/>
            <wp:effectExtent l="0" t="0" r="0" b="31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D1F370" w14:textId="42E4C004" w:rsidR="00F6191C" w:rsidRDefault="00F6191C" w:rsidP="00F3179C">
      <w:pPr>
        <w:spacing w:after="3" w:line="256" w:lineRule="auto"/>
        <w:rPr>
          <w:noProof/>
          <w:lang w:eastAsia="uk-UA"/>
        </w:rPr>
      </w:pPr>
    </w:p>
    <w:p w14:paraId="5CA733D1" w14:textId="157BB504" w:rsidR="00F6191C" w:rsidRDefault="00F6191C" w:rsidP="00F3179C">
      <w:pPr>
        <w:spacing w:after="3" w:line="256" w:lineRule="auto"/>
        <w:rPr>
          <w:noProof/>
          <w:lang w:eastAsia="uk-UA"/>
        </w:rPr>
      </w:pPr>
    </w:p>
    <w:p w14:paraId="45DC16FF" w14:textId="276B057C" w:rsidR="00F6191C" w:rsidRDefault="00F6191C" w:rsidP="00F3179C">
      <w:pPr>
        <w:spacing w:after="3" w:line="256" w:lineRule="auto"/>
        <w:rPr>
          <w:noProof/>
          <w:lang w:eastAsia="uk-UA"/>
        </w:rPr>
      </w:pPr>
    </w:p>
    <w:p w14:paraId="4FBE3F83" w14:textId="77777777" w:rsidR="00F6191C" w:rsidRDefault="00F6191C" w:rsidP="00F3179C">
      <w:pPr>
        <w:spacing w:after="3" w:line="256" w:lineRule="auto"/>
        <w:rPr>
          <w:noProof/>
          <w:lang w:eastAsia="uk-UA"/>
        </w:rPr>
      </w:pPr>
    </w:p>
    <w:p w14:paraId="1622D011" w14:textId="60431768" w:rsidR="0095382D" w:rsidRDefault="0095382D" w:rsidP="00F3179C">
      <w:pPr>
        <w:spacing w:after="3" w:line="256" w:lineRule="auto"/>
        <w:rPr>
          <w:sz w:val="22"/>
          <w:szCs w:val="22"/>
          <w:lang w:val="ru-RU"/>
        </w:rPr>
      </w:pPr>
    </w:p>
    <w:p w14:paraId="541C6B5B" w14:textId="515C7634" w:rsidR="00AF38B5" w:rsidRDefault="00AF38B5" w:rsidP="00F3179C">
      <w:pPr>
        <w:spacing w:after="3" w:line="256" w:lineRule="auto"/>
        <w:rPr>
          <w:sz w:val="22"/>
          <w:szCs w:val="22"/>
        </w:rPr>
      </w:pPr>
    </w:p>
    <w:p w14:paraId="1D83D26F" w14:textId="2D5BE724" w:rsidR="00F3179C" w:rsidRPr="00D44884" w:rsidRDefault="00F3179C" w:rsidP="00AF38B5">
      <w:pPr>
        <w:spacing w:after="3" w:line="256" w:lineRule="auto"/>
        <w:ind w:firstLine="567"/>
        <w:jc w:val="both"/>
      </w:pPr>
      <w:r w:rsidRPr="00D44884">
        <w:t xml:space="preserve">Серед загальної кількості звернень, що надійшли </w:t>
      </w:r>
      <w:r w:rsidR="00BD76B2">
        <w:t xml:space="preserve">за </w:t>
      </w:r>
      <w:r w:rsidR="00C70A16">
        <w:t>202</w:t>
      </w:r>
      <w:r w:rsidR="00C70A16" w:rsidRPr="00C70A16">
        <w:rPr>
          <w:lang w:val="ru-RU"/>
        </w:rPr>
        <w:t>5</w:t>
      </w:r>
      <w:r w:rsidR="00176864">
        <w:t xml:space="preserve"> рік</w:t>
      </w:r>
      <w:r w:rsidR="00AF38B5">
        <w:t>:</w:t>
      </w:r>
    </w:p>
    <w:p w14:paraId="652CB7B3" w14:textId="2AE87DC0" w:rsidR="00F3179C" w:rsidRPr="00D44884" w:rsidRDefault="005E093A" w:rsidP="00F976FF">
      <w:pPr>
        <w:tabs>
          <w:tab w:val="left" w:pos="1560"/>
        </w:tabs>
        <w:ind w:left="708"/>
      </w:pPr>
      <w:r>
        <w:t>–</w:t>
      </w:r>
      <w:r w:rsidR="00504B73" w:rsidRPr="00D44884">
        <w:t xml:space="preserve"> вирішено позитивно</w:t>
      </w:r>
      <w:r w:rsidR="001D26CD">
        <w:t xml:space="preserve"> - 4527</w:t>
      </w:r>
      <w:r w:rsidR="00504B73" w:rsidRPr="00D44884">
        <w:t>;</w:t>
      </w:r>
      <w:r w:rsidR="00F3179C" w:rsidRPr="00D44884">
        <w:t xml:space="preserve">  </w:t>
      </w:r>
    </w:p>
    <w:p w14:paraId="6785EECB" w14:textId="7DD2F67B" w:rsidR="00F976FF" w:rsidRDefault="00504B73" w:rsidP="00F976FF">
      <w:pPr>
        <w:ind w:left="708"/>
      </w:pPr>
      <w:r w:rsidRPr="00D44884">
        <w:t>– відмовлено у задоволенні</w:t>
      </w:r>
      <w:r w:rsidR="001D26CD">
        <w:t xml:space="preserve"> - 13</w:t>
      </w:r>
      <w:r w:rsidRPr="00D44884">
        <w:t>;</w:t>
      </w:r>
      <w:r w:rsidR="00F3179C" w:rsidRPr="00D44884">
        <w:t xml:space="preserve"> </w:t>
      </w:r>
    </w:p>
    <w:p w14:paraId="24DCAE4A" w14:textId="47FDF6D6" w:rsidR="00F976FF" w:rsidRDefault="00504B73" w:rsidP="00F976FF">
      <w:pPr>
        <w:ind w:left="708"/>
      </w:pPr>
      <w:r w:rsidRPr="00D44884">
        <w:t>– дано роз’яснення</w:t>
      </w:r>
      <w:r w:rsidR="001D26CD">
        <w:t xml:space="preserve"> - 1</w:t>
      </w:r>
      <w:r w:rsidR="00F976FF">
        <w:t>2</w:t>
      </w:r>
      <w:r w:rsidR="001D26CD">
        <w:t>77</w:t>
      </w:r>
      <w:r w:rsidRPr="00D44884">
        <w:t>;</w:t>
      </w:r>
      <w:r w:rsidR="00F3179C" w:rsidRPr="00D44884">
        <w:t xml:space="preserve"> </w:t>
      </w:r>
    </w:p>
    <w:p w14:paraId="7CAF2572" w14:textId="187C4894" w:rsidR="00F976FF" w:rsidRDefault="00F976FF" w:rsidP="00F976FF">
      <w:pPr>
        <w:ind w:left="708"/>
      </w:pPr>
      <w:r w:rsidRPr="00D44884">
        <w:t xml:space="preserve">– </w:t>
      </w:r>
      <w:r w:rsidR="001D26CD">
        <w:t>інше – 281</w:t>
      </w:r>
      <w:r>
        <w:t>;</w:t>
      </w:r>
    </w:p>
    <w:p w14:paraId="24CF22A4" w14:textId="1086085A" w:rsidR="00F976FF" w:rsidRDefault="00F976FF" w:rsidP="00F976FF">
      <w:pPr>
        <w:ind w:firstLine="708"/>
      </w:pPr>
      <w:r w:rsidRPr="00D44884">
        <w:t xml:space="preserve">– </w:t>
      </w:r>
      <w:r>
        <w:t>знаходяться у стадії розгляду - 8</w:t>
      </w:r>
      <w:r w:rsidR="00A75863">
        <w:t>4</w:t>
      </w:r>
      <w:r w:rsidRPr="00D44884">
        <w:t xml:space="preserve">; </w:t>
      </w:r>
    </w:p>
    <w:p w14:paraId="2FF206B2" w14:textId="6D5DD506" w:rsidR="002F34F7" w:rsidRPr="00D44884" w:rsidRDefault="002F34F7" w:rsidP="00AF38B5">
      <w:pPr>
        <w:tabs>
          <w:tab w:val="left" w:pos="709"/>
        </w:tabs>
        <w:ind w:firstLine="567"/>
        <w:jc w:val="both"/>
      </w:pPr>
      <w:r w:rsidRPr="00D44884">
        <w:t xml:space="preserve">Всі звернення були розглянуті відповідно до вимог законодавства про звернення громадян. </w:t>
      </w:r>
    </w:p>
    <w:p w14:paraId="72F795DB" w14:textId="3E219029" w:rsidR="00680F60" w:rsidRPr="00D44884" w:rsidRDefault="00680F60" w:rsidP="00AF38B5">
      <w:pPr>
        <w:ind w:firstLine="567"/>
        <w:jc w:val="both"/>
      </w:pPr>
      <w:r w:rsidRPr="00D44884">
        <w:t>В Ізмаїльській районній державній</w:t>
      </w:r>
      <w:r w:rsidR="009865F9">
        <w:t xml:space="preserve"> (військовій)</w:t>
      </w:r>
      <w:r w:rsidRPr="00D44884">
        <w:t xml:space="preserve"> адміністрації</w:t>
      </w:r>
      <w:r w:rsidR="009865F9">
        <w:t xml:space="preserve"> Одеської області</w:t>
      </w:r>
      <w:r w:rsidRPr="00D44884">
        <w:t xml:space="preserve"> керівництвом та спеціалістами приділяється увага поліпшенню умов реалізації конституційного права громадян на особисте звернення, удосконаленню організації розгляду порушених у таких зверненнях питань, підвищенню персональної відповідальності за неналежне реагування на обґрунтовані пропозиції, заяви, скарги у повній відповідності з існуючим законодавством, розв’язанню проблем, які спричиняють звернення громадян. </w:t>
      </w:r>
    </w:p>
    <w:p w14:paraId="1F3CDF6F" w14:textId="77777777" w:rsidR="00680F60" w:rsidRPr="00D44884" w:rsidRDefault="00680F60" w:rsidP="00AF38B5">
      <w:pPr>
        <w:ind w:firstLine="567"/>
        <w:jc w:val="both"/>
      </w:pPr>
      <w:r w:rsidRPr="00D44884">
        <w:t>З метою удосконалення організації роботи зі зверненнями громадян та відповідно до затверджених планів роботи, за звітний період Ізмаїльською районною державною</w:t>
      </w:r>
      <w:r w:rsidR="00E45168">
        <w:t xml:space="preserve"> (військовою)</w:t>
      </w:r>
      <w:r w:rsidRPr="00D44884">
        <w:t xml:space="preserve"> адміністрацією</w:t>
      </w:r>
      <w:r w:rsidR="00E45168">
        <w:t xml:space="preserve"> Одеської області</w:t>
      </w:r>
      <w:r w:rsidRPr="00D44884">
        <w:t xml:space="preserve">, на виконання вимог Указу Президента України від 07.02.2008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проведені наступні заходи: </w:t>
      </w:r>
    </w:p>
    <w:p w14:paraId="7D5455F3" w14:textId="77777777" w:rsidR="00680F60" w:rsidRPr="00D44884" w:rsidRDefault="00680F60" w:rsidP="002F34F7">
      <w:pPr>
        <w:pStyle w:val="3"/>
        <w:numPr>
          <w:ilvl w:val="0"/>
          <w:numId w:val="1"/>
        </w:numPr>
        <w:tabs>
          <w:tab w:val="clear" w:pos="1777"/>
          <w:tab w:val="num" w:pos="0"/>
          <w:tab w:val="num" w:pos="993"/>
        </w:tabs>
        <w:ind w:left="0" w:firstLine="709"/>
        <w:rPr>
          <w:color w:val="auto"/>
          <w:sz w:val="24"/>
        </w:rPr>
      </w:pPr>
      <w:r w:rsidRPr="00D44884">
        <w:rPr>
          <w:color w:val="auto"/>
          <w:sz w:val="24"/>
        </w:rPr>
        <w:t xml:space="preserve">з метою надання правової допомоги на офіційному </w:t>
      </w:r>
      <w:proofErr w:type="spellStart"/>
      <w:r w:rsidR="00F43DAE">
        <w:rPr>
          <w:color w:val="auto"/>
          <w:sz w:val="24"/>
        </w:rPr>
        <w:t>веб</w:t>
      </w:r>
      <w:r w:rsidRPr="00D44884">
        <w:rPr>
          <w:color w:val="auto"/>
          <w:sz w:val="24"/>
        </w:rPr>
        <w:t>сайті</w:t>
      </w:r>
      <w:proofErr w:type="spellEnd"/>
      <w:r w:rsidRPr="00D44884">
        <w:rPr>
          <w:color w:val="auto"/>
          <w:sz w:val="24"/>
        </w:rPr>
        <w:t xml:space="preserve"> </w:t>
      </w:r>
      <w:r w:rsidR="00E45168" w:rsidRPr="00E45168">
        <w:rPr>
          <w:bCs/>
          <w:color w:val="auto"/>
          <w:sz w:val="24"/>
        </w:rPr>
        <w:t>Ізмаїльської районної державної (військової) адміністрації Одеської області</w:t>
      </w:r>
      <w:r w:rsidR="00E45168" w:rsidRPr="00E45168">
        <w:rPr>
          <w:color w:val="auto"/>
          <w:sz w:val="24"/>
        </w:rPr>
        <w:t xml:space="preserve"> </w:t>
      </w:r>
      <w:r w:rsidRPr="00D44884">
        <w:rPr>
          <w:color w:val="auto"/>
          <w:sz w:val="24"/>
        </w:rPr>
        <w:t xml:space="preserve">спеціалістами відділів та управління </w:t>
      </w:r>
      <w:r w:rsidR="00E45168" w:rsidRPr="00E45168">
        <w:rPr>
          <w:bCs/>
          <w:color w:val="auto"/>
          <w:sz w:val="24"/>
        </w:rPr>
        <w:t>Ізмаїльської районної державної (військової) адміністрації Одеської області</w:t>
      </w:r>
      <w:r w:rsidRPr="00D44884">
        <w:rPr>
          <w:color w:val="auto"/>
          <w:sz w:val="24"/>
        </w:rPr>
        <w:t xml:space="preserve"> надаються </w:t>
      </w:r>
      <w:r w:rsidRPr="00D44884">
        <w:rPr>
          <w:bCs/>
          <w:color w:val="auto"/>
          <w:sz w:val="24"/>
        </w:rPr>
        <w:t xml:space="preserve">роз’яснення вимог </w:t>
      </w:r>
      <w:r w:rsidR="007136AC">
        <w:rPr>
          <w:bCs/>
          <w:color w:val="auto"/>
          <w:sz w:val="24"/>
        </w:rPr>
        <w:t>чинного</w:t>
      </w:r>
      <w:r w:rsidRPr="00D44884">
        <w:rPr>
          <w:bCs/>
          <w:color w:val="auto"/>
          <w:sz w:val="24"/>
        </w:rPr>
        <w:t xml:space="preserve"> законодавства</w:t>
      </w:r>
      <w:r w:rsidRPr="00D44884">
        <w:rPr>
          <w:color w:val="auto"/>
          <w:sz w:val="24"/>
        </w:rPr>
        <w:t>, зміни та доповнення до існуючих нормативно-правових актів. Протягом звітного періоду спеціалістами  управлін</w:t>
      </w:r>
      <w:r w:rsidR="001A62A9">
        <w:rPr>
          <w:color w:val="auto"/>
          <w:sz w:val="24"/>
        </w:rPr>
        <w:t>ь</w:t>
      </w:r>
      <w:r w:rsidRPr="00D44884">
        <w:rPr>
          <w:color w:val="auto"/>
          <w:sz w:val="24"/>
        </w:rPr>
        <w:t xml:space="preserve"> та відділів райдержадміністрації постійно публікуються статті роз’яснювального характеру;</w:t>
      </w:r>
    </w:p>
    <w:p w14:paraId="27724710" w14:textId="3F304F3F" w:rsidR="00020A25" w:rsidRPr="00D44884" w:rsidRDefault="00020A25" w:rsidP="00020A25">
      <w:pPr>
        <w:ind w:firstLine="708"/>
        <w:jc w:val="both"/>
      </w:pPr>
      <w:r w:rsidRPr="00D44884">
        <w:t>- щоквартально надаються аналітичні матеріали щодо</w:t>
      </w:r>
      <w:r w:rsidR="002F34F7" w:rsidRPr="00D44884">
        <w:t xml:space="preserve"> роботи зі зверненнями громадян</w:t>
      </w:r>
      <w:r w:rsidRPr="00D44884">
        <w:t xml:space="preserve"> в Ізмаїльській райдержадміністрації</w:t>
      </w:r>
      <w:r w:rsidR="00D026D4" w:rsidRPr="00D44884">
        <w:t xml:space="preserve"> </w:t>
      </w:r>
      <w:r w:rsidR="00C46853">
        <w:t>та громадах Ізмаїльського району</w:t>
      </w:r>
      <w:r w:rsidRPr="00D44884">
        <w:t xml:space="preserve"> до облдержадміністрації, даний напрямок роботи</w:t>
      </w:r>
      <w:r w:rsidR="009865F9">
        <w:t xml:space="preserve"> висвітлюється на офіційній </w:t>
      </w:r>
      <w:proofErr w:type="spellStart"/>
      <w:r w:rsidR="009865F9">
        <w:t>веб</w:t>
      </w:r>
      <w:r w:rsidRPr="00D44884">
        <w:t>сторінці</w:t>
      </w:r>
      <w:proofErr w:type="spellEnd"/>
      <w:r w:rsidRPr="00D44884">
        <w:t xml:space="preserve"> </w:t>
      </w:r>
      <w:r w:rsidR="00E45168" w:rsidRPr="00AA4CCE">
        <w:rPr>
          <w:bCs/>
        </w:rPr>
        <w:t>Ізмаїльської районної державної</w:t>
      </w:r>
      <w:r w:rsidR="00E45168">
        <w:rPr>
          <w:bCs/>
        </w:rPr>
        <w:t xml:space="preserve"> (військової) </w:t>
      </w:r>
      <w:r w:rsidR="00E45168" w:rsidRPr="00AA4CCE">
        <w:rPr>
          <w:bCs/>
        </w:rPr>
        <w:t>адміністрації</w:t>
      </w:r>
      <w:r w:rsidR="00E45168">
        <w:rPr>
          <w:bCs/>
        </w:rPr>
        <w:t xml:space="preserve"> Одеської області</w:t>
      </w:r>
      <w:r w:rsidRPr="00D44884">
        <w:t xml:space="preserve">. </w:t>
      </w:r>
    </w:p>
    <w:p w14:paraId="661CE6FC" w14:textId="729F27AA" w:rsidR="00680F60" w:rsidRPr="00D44884" w:rsidRDefault="00E45168" w:rsidP="00AF38B5">
      <w:pPr>
        <w:autoSpaceDE w:val="0"/>
        <w:autoSpaceDN w:val="0"/>
        <w:adjustRightInd w:val="0"/>
        <w:ind w:firstLine="567"/>
        <w:jc w:val="both"/>
      </w:pPr>
      <w:r>
        <w:t>Ізмаїльською районною державною (військовою) адміністрацією</w:t>
      </w:r>
      <w:r w:rsidRPr="00AA4CCE">
        <w:t xml:space="preserve"> </w:t>
      </w:r>
      <w:r>
        <w:t>Одеської області</w:t>
      </w:r>
      <w:r w:rsidR="00AD6F7C" w:rsidRPr="00D44884">
        <w:t xml:space="preserve"> налагоджена тісна робота із</w:t>
      </w:r>
      <w:r w:rsidR="00680F60" w:rsidRPr="00D44884">
        <w:t xml:space="preserve"> </w:t>
      </w:r>
      <w:proofErr w:type="spellStart"/>
      <w:r w:rsidR="00680F60" w:rsidRPr="00D44884">
        <w:t>Кілійською</w:t>
      </w:r>
      <w:proofErr w:type="spellEnd"/>
      <w:r w:rsidR="00680F60" w:rsidRPr="00D44884">
        <w:t xml:space="preserve">, Ренійською, </w:t>
      </w:r>
      <w:proofErr w:type="spellStart"/>
      <w:r w:rsidR="00680F60" w:rsidRPr="00D44884">
        <w:t>Вилківською</w:t>
      </w:r>
      <w:proofErr w:type="spellEnd"/>
      <w:r w:rsidR="00680F60" w:rsidRPr="00D44884">
        <w:t xml:space="preserve"> міськими радами, </w:t>
      </w:r>
      <w:proofErr w:type="spellStart"/>
      <w:r w:rsidR="005D50EC">
        <w:t>Катлабузь</w:t>
      </w:r>
      <w:r w:rsidR="00DC12E4">
        <w:t>кою</w:t>
      </w:r>
      <w:proofErr w:type="spellEnd"/>
      <w:r w:rsidR="00680F60" w:rsidRPr="00D44884">
        <w:t xml:space="preserve"> селищною</w:t>
      </w:r>
      <w:r w:rsidR="00AD6F7C" w:rsidRPr="00D44884">
        <w:t xml:space="preserve"> та</w:t>
      </w:r>
      <w:r w:rsidR="00680F60" w:rsidRPr="00D44884">
        <w:t xml:space="preserve"> </w:t>
      </w:r>
      <w:proofErr w:type="spellStart"/>
      <w:r w:rsidR="00C46853">
        <w:t>Саф’янівською</w:t>
      </w:r>
      <w:proofErr w:type="spellEnd"/>
      <w:r w:rsidR="00C46853">
        <w:t xml:space="preserve"> сільською </w:t>
      </w:r>
      <w:r w:rsidR="00A75863">
        <w:t>радами</w:t>
      </w:r>
      <w:r w:rsidR="00680F60" w:rsidRPr="00D44884">
        <w:t>. Відповідно до вимог законодавства про звернення громадян виконко</w:t>
      </w:r>
      <w:r w:rsidR="00D870F5">
        <w:t>ма</w:t>
      </w:r>
      <w:r w:rsidR="00680F60" w:rsidRPr="00D44884">
        <w:t>ми міських, селищної</w:t>
      </w:r>
      <w:r w:rsidR="00AD6F7C" w:rsidRPr="00D44884">
        <w:t xml:space="preserve"> та сільської </w:t>
      </w:r>
      <w:r w:rsidR="00680F60" w:rsidRPr="00D44884">
        <w:t>рад</w:t>
      </w:r>
      <w:r w:rsidR="00AD6F7C" w:rsidRPr="00D44884">
        <w:t xml:space="preserve"> надаються </w:t>
      </w:r>
      <w:r w:rsidR="00D026D4" w:rsidRPr="00D44884">
        <w:t xml:space="preserve">статистичні </w:t>
      </w:r>
      <w:r w:rsidR="00680F60" w:rsidRPr="00D44884">
        <w:t>звіт</w:t>
      </w:r>
      <w:r w:rsidR="00D026D4" w:rsidRPr="00D44884">
        <w:t>и</w:t>
      </w:r>
      <w:r w:rsidR="00680F60" w:rsidRPr="00D44884">
        <w:t xml:space="preserve"> до </w:t>
      </w:r>
      <w:r w:rsidRPr="00AA4CCE">
        <w:rPr>
          <w:bCs/>
        </w:rPr>
        <w:t>Ізмаїльської районної державної</w:t>
      </w:r>
      <w:r>
        <w:rPr>
          <w:bCs/>
        </w:rPr>
        <w:t xml:space="preserve"> (військової) </w:t>
      </w:r>
      <w:r w:rsidRPr="00AA4CCE">
        <w:rPr>
          <w:bCs/>
        </w:rPr>
        <w:t>адміністрації</w:t>
      </w:r>
      <w:r>
        <w:rPr>
          <w:bCs/>
        </w:rPr>
        <w:t xml:space="preserve"> Одеської області</w:t>
      </w:r>
      <w:r w:rsidR="00680F60" w:rsidRPr="00D44884">
        <w:t xml:space="preserve"> про звернення, що на</w:t>
      </w:r>
      <w:r w:rsidR="00A75863">
        <w:t>дійшли протягом 2025 року</w:t>
      </w:r>
      <w:r w:rsidR="00680F60" w:rsidRPr="00D44884">
        <w:t xml:space="preserve">. </w:t>
      </w:r>
    </w:p>
    <w:p w14:paraId="7DD637E5" w14:textId="77777777" w:rsidR="00680F60" w:rsidRPr="00D44884" w:rsidRDefault="00680F60" w:rsidP="00AF38B5">
      <w:pPr>
        <w:ind w:firstLine="567"/>
        <w:jc w:val="both"/>
      </w:pPr>
      <w:r w:rsidRPr="00D44884">
        <w:t>В райдержадміністрації створені належні умови для роботи зі зверненнями громадян: ведеться комп’ютерна база реєстрації звернень громадян, що дозволяє оперативно обробляти інформацію та статистичні дані,  на інформаційних стендах розміщені законодавчі акти, зразки оформлення заяв, відомості про посадових та службових осіб структурних підрозділів райдержадміністрації, контактні телефони та адреси.</w:t>
      </w:r>
    </w:p>
    <w:p w14:paraId="1E2B510B" w14:textId="77777777" w:rsidR="00680F60" w:rsidRPr="00D44884" w:rsidRDefault="009865F9" w:rsidP="00AF38B5">
      <w:pPr>
        <w:ind w:firstLine="567"/>
        <w:jc w:val="both"/>
      </w:pPr>
      <w:r>
        <w:t>Ізмаїльська районна державна (військова) адміністрація</w:t>
      </w:r>
      <w:r w:rsidR="001B1362" w:rsidRPr="00AA4CCE">
        <w:t xml:space="preserve"> </w:t>
      </w:r>
      <w:r w:rsidR="001B1362">
        <w:t>Одеської області</w:t>
      </w:r>
      <w:r w:rsidR="001B1362" w:rsidRPr="00D44884">
        <w:t xml:space="preserve"> </w:t>
      </w:r>
      <w:r w:rsidR="00680F60" w:rsidRPr="00D44884">
        <w:t xml:space="preserve">у своїй повсякденній діяльності щодо розгляду звернень громадян забезпечуватиме й у подальшому реалізацію конституційного права громадян на звернення до органів виконавчої влади. З метою удосконалення організації роботи зі зверненнями громадян керівництвом </w:t>
      </w:r>
      <w:r w:rsidRPr="00AA4CCE">
        <w:rPr>
          <w:bCs/>
        </w:rPr>
        <w:t>Ізмаїльської районної державної</w:t>
      </w:r>
      <w:r>
        <w:rPr>
          <w:bCs/>
        </w:rPr>
        <w:t xml:space="preserve"> (військової) </w:t>
      </w:r>
      <w:r w:rsidRPr="00AA4CCE">
        <w:rPr>
          <w:bCs/>
        </w:rPr>
        <w:t>адміністрації</w:t>
      </w:r>
      <w:r>
        <w:rPr>
          <w:bCs/>
        </w:rPr>
        <w:t xml:space="preserve"> Одеської області</w:t>
      </w:r>
      <w:r w:rsidR="00680F60" w:rsidRPr="00D44884">
        <w:t>, спеціалістами відділу документообігу і контролю</w:t>
      </w:r>
      <w:r w:rsidR="001A62A9">
        <w:t>, розгляду звернень громадян та доступу до публічної інформації</w:t>
      </w:r>
      <w:r w:rsidR="00191FFC" w:rsidRPr="00D44884">
        <w:t xml:space="preserve"> </w:t>
      </w:r>
      <w:r w:rsidR="00680F60" w:rsidRPr="00D44884">
        <w:t>апарату райдержадміністрації продовжуватиметься практика реалізації заходів організаційного, інформаційно-ана</w:t>
      </w:r>
      <w:r w:rsidR="005D0745">
        <w:t>літичного характеру, спрямовано</w:t>
      </w:r>
      <w:r w:rsidR="00680F60" w:rsidRPr="00D44884">
        <w:t xml:space="preserve"> на поліпшення роботи зі зверненнями громадян та безумовне виконання вимог законодавства про звернення громадян.</w:t>
      </w:r>
    </w:p>
    <w:p w14:paraId="7ED0C86B" w14:textId="77777777" w:rsidR="00680F60" w:rsidRPr="00D44884" w:rsidRDefault="00680F60" w:rsidP="00680F60">
      <w:pPr>
        <w:ind w:firstLine="708"/>
        <w:jc w:val="both"/>
      </w:pPr>
    </w:p>
    <w:p w14:paraId="3896E614" w14:textId="08C915FF" w:rsidR="00680F60" w:rsidRPr="00D44884" w:rsidRDefault="00680F60" w:rsidP="00680F60">
      <w:r w:rsidRPr="00D44884">
        <w:t>Голова</w:t>
      </w:r>
      <w:r w:rsidR="00C762B1">
        <w:t xml:space="preserve"> (н</w:t>
      </w:r>
      <w:r w:rsidR="0060717C">
        <w:t>ачальник</w:t>
      </w:r>
      <w:r w:rsidR="00C762B1">
        <w:t>)</w:t>
      </w:r>
      <w:r w:rsidR="0060717C">
        <w:t xml:space="preserve"> </w:t>
      </w:r>
      <w:r w:rsidRPr="00D44884">
        <w:t>Ізмаїльської районної</w:t>
      </w:r>
    </w:p>
    <w:p w14:paraId="10055A99" w14:textId="0C63436C" w:rsidR="00680F60" w:rsidRDefault="00680F60" w:rsidP="00680F60">
      <w:pPr>
        <w:rPr>
          <w:sz w:val="22"/>
          <w:szCs w:val="22"/>
        </w:rPr>
      </w:pPr>
      <w:r w:rsidRPr="00D44884">
        <w:t xml:space="preserve">державної </w:t>
      </w:r>
      <w:r w:rsidR="004C14F3">
        <w:t>(військової) адміністрації</w:t>
      </w:r>
      <w:r w:rsidRPr="00D44884">
        <w:tab/>
      </w:r>
      <w:r w:rsidRPr="00D44884">
        <w:tab/>
      </w:r>
      <w:r w:rsidRPr="00D44884">
        <w:tab/>
      </w:r>
      <w:r w:rsidR="00AF38B5">
        <w:tab/>
      </w:r>
      <w:r w:rsidR="00AF38B5">
        <w:tab/>
      </w:r>
      <w:r w:rsidR="00AF38B5">
        <w:tab/>
      </w:r>
      <w:r w:rsidRPr="00D44884">
        <w:t>Родіон АБАШЕВ</w:t>
      </w:r>
    </w:p>
    <w:p w14:paraId="571E4C37" w14:textId="405ECCD9" w:rsidR="00AF38B5" w:rsidRDefault="00AF38B5" w:rsidP="00680F60">
      <w:pPr>
        <w:rPr>
          <w:sz w:val="22"/>
          <w:szCs w:val="22"/>
        </w:rPr>
      </w:pPr>
    </w:p>
    <w:sectPr w:rsidR="00AF38B5" w:rsidSect="00C46853">
      <w:pgSz w:w="11906" w:h="16838"/>
      <w:pgMar w:top="709" w:right="566"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B72BD"/>
    <w:multiLevelType w:val="multilevel"/>
    <w:tmpl w:val="06DA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0B3FFF"/>
    <w:multiLevelType w:val="hybridMultilevel"/>
    <w:tmpl w:val="8C866BFC"/>
    <w:lvl w:ilvl="0" w:tplc="0EE494B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752E3F48"/>
    <w:multiLevelType w:val="hybridMultilevel"/>
    <w:tmpl w:val="D93A2AE8"/>
    <w:lvl w:ilvl="0" w:tplc="8EF4BF6A">
      <w:numFmt w:val="bullet"/>
      <w:lvlText w:val="-"/>
      <w:lvlJc w:val="left"/>
      <w:pPr>
        <w:tabs>
          <w:tab w:val="num" w:pos="1777"/>
        </w:tabs>
        <w:ind w:left="1777" w:hanging="360"/>
      </w:pPr>
      <w:rPr>
        <w:rFonts w:ascii="Times New Roman" w:eastAsia="Times New Roman" w:hAnsi="Times New Roman" w:cs="Times New Roman" w:hint="default"/>
        <w:color w:val="auto"/>
      </w:rPr>
    </w:lvl>
    <w:lvl w:ilvl="1" w:tplc="04190003">
      <w:start w:val="1"/>
      <w:numFmt w:val="bullet"/>
      <w:lvlText w:val="o"/>
      <w:lvlJc w:val="left"/>
      <w:pPr>
        <w:tabs>
          <w:tab w:val="num" w:pos="1636"/>
        </w:tabs>
        <w:ind w:left="1636" w:hanging="360"/>
      </w:pPr>
      <w:rPr>
        <w:rFonts w:ascii="Courier New" w:hAnsi="Courier New" w:cs="Courier New" w:hint="default"/>
      </w:rPr>
    </w:lvl>
    <w:lvl w:ilvl="2" w:tplc="04190019">
      <w:start w:val="1"/>
      <w:numFmt w:val="lowerLetter"/>
      <w:lvlText w:val="%3."/>
      <w:lvlJc w:val="left"/>
      <w:pPr>
        <w:tabs>
          <w:tab w:val="num" w:pos="3217"/>
        </w:tabs>
        <w:ind w:left="3217" w:hanging="360"/>
      </w:pPr>
      <w:rPr>
        <w:rFonts w:hint="default"/>
      </w:rPr>
    </w:lvl>
    <w:lvl w:ilvl="3" w:tplc="04190001" w:tentative="1">
      <w:start w:val="1"/>
      <w:numFmt w:val="bullet"/>
      <w:lvlText w:val=""/>
      <w:lvlJc w:val="left"/>
      <w:pPr>
        <w:tabs>
          <w:tab w:val="num" w:pos="3937"/>
        </w:tabs>
        <w:ind w:left="3937" w:hanging="360"/>
      </w:pPr>
      <w:rPr>
        <w:rFonts w:ascii="Symbol" w:hAnsi="Symbol" w:hint="default"/>
      </w:rPr>
    </w:lvl>
    <w:lvl w:ilvl="4" w:tplc="04190003" w:tentative="1">
      <w:start w:val="1"/>
      <w:numFmt w:val="bullet"/>
      <w:lvlText w:val="o"/>
      <w:lvlJc w:val="left"/>
      <w:pPr>
        <w:tabs>
          <w:tab w:val="num" w:pos="4657"/>
        </w:tabs>
        <w:ind w:left="4657" w:hanging="360"/>
      </w:pPr>
      <w:rPr>
        <w:rFonts w:ascii="Courier New" w:hAnsi="Courier New" w:cs="Courier New" w:hint="default"/>
      </w:rPr>
    </w:lvl>
    <w:lvl w:ilvl="5" w:tplc="04190005" w:tentative="1">
      <w:start w:val="1"/>
      <w:numFmt w:val="bullet"/>
      <w:lvlText w:val=""/>
      <w:lvlJc w:val="left"/>
      <w:pPr>
        <w:tabs>
          <w:tab w:val="num" w:pos="5377"/>
        </w:tabs>
        <w:ind w:left="5377" w:hanging="360"/>
      </w:pPr>
      <w:rPr>
        <w:rFonts w:ascii="Wingdings" w:hAnsi="Wingdings" w:hint="default"/>
      </w:rPr>
    </w:lvl>
    <w:lvl w:ilvl="6" w:tplc="04190001" w:tentative="1">
      <w:start w:val="1"/>
      <w:numFmt w:val="bullet"/>
      <w:lvlText w:val=""/>
      <w:lvlJc w:val="left"/>
      <w:pPr>
        <w:tabs>
          <w:tab w:val="num" w:pos="6097"/>
        </w:tabs>
        <w:ind w:left="6097" w:hanging="360"/>
      </w:pPr>
      <w:rPr>
        <w:rFonts w:ascii="Symbol" w:hAnsi="Symbol" w:hint="default"/>
      </w:rPr>
    </w:lvl>
    <w:lvl w:ilvl="7" w:tplc="04190003" w:tentative="1">
      <w:start w:val="1"/>
      <w:numFmt w:val="bullet"/>
      <w:lvlText w:val="o"/>
      <w:lvlJc w:val="left"/>
      <w:pPr>
        <w:tabs>
          <w:tab w:val="num" w:pos="6817"/>
        </w:tabs>
        <w:ind w:left="6817" w:hanging="360"/>
      </w:pPr>
      <w:rPr>
        <w:rFonts w:ascii="Courier New" w:hAnsi="Courier New" w:cs="Courier New" w:hint="default"/>
      </w:rPr>
    </w:lvl>
    <w:lvl w:ilvl="8" w:tplc="04190005" w:tentative="1">
      <w:start w:val="1"/>
      <w:numFmt w:val="bullet"/>
      <w:lvlText w:val=""/>
      <w:lvlJc w:val="left"/>
      <w:pPr>
        <w:tabs>
          <w:tab w:val="num" w:pos="7537"/>
        </w:tabs>
        <w:ind w:left="753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F7A"/>
    <w:rsid w:val="00001875"/>
    <w:rsid w:val="00007D9C"/>
    <w:rsid w:val="00015910"/>
    <w:rsid w:val="00020A25"/>
    <w:rsid w:val="00020DEC"/>
    <w:rsid w:val="0002166C"/>
    <w:rsid w:val="000436B4"/>
    <w:rsid w:val="00062AD0"/>
    <w:rsid w:val="00073E0F"/>
    <w:rsid w:val="00085805"/>
    <w:rsid w:val="000F3D89"/>
    <w:rsid w:val="00130B00"/>
    <w:rsid w:val="001327A9"/>
    <w:rsid w:val="0013434F"/>
    <w:rsid w:val="00155A69"/>
    <w:rsid w:val="001662DA"/>
    <w:rsid w:val="00171A2A"/>
    <w:rsid w:val="00176864"/>
    <w:rsid w:val="00190FB7"/>
    <w:rsid w:val="00191FFC"/>
    <w:rsid w:val="001A62A9"/>
    <w:rsid w:val="001B0C33"/>
    <w:rsid w:val="001B1362"/>
    <w:rsid w:val="001D0089"/>
    <w:rsid w:val="001D26CD"/>
    <w:rsid w:val="001E4774"/>
    <w:rsid w:val="001F0A04"/>
    <w:rsid w:val="001F68F2"/>
    <w:rsid w:val="002027E8"/>
    <w:rsid w:val="002106A5"/>
    <w:rsid w:val="00224AD9"/>
    <w:rsid w:val="00226787"/>
    <w:rsid w:val="00274E42"/>
    <w:rsid w:val="00276FDC"/>
    <w:rsid w:val="002A2D43"/>
    <w:rsid w:val="002A4EC8"/>
    <w:rsid w:val="002F34F7"/>
    <w:rsid w:val="003014E5"/>
    <w:rsid w:val="0030216C"/>
    <w:rsid w:val="00327737"/>
    <w:rsid w:val="00331F6C"/>
    <w:rsid w:val="00341995"/>
    <w:rsid w:val="00380DBF"/>
    <w:rsid w:val="0039428E"/>
    <w:rsid w:val="00396939"/>
    <w:rsid w:val="003C527B"/>
    <w:rsid w:val="003F3554"/>
    <w:rsid w:val="003F75F2"/>
    <w:rsid w:val="004130E7"/>
    <w:rsid w:val="00414E5D"/>
    <w:rsid w:val="00416E62"/>
    <w:rsid w:val="0041780B"/>
    <w:rsid w:val="00453347"/>
    <w:rsid w:val="00497CC5"/>
    <w:rsid w:val="004A2936"/>
    <w:rsid w:val="004C14F3"/>
    <w:rsid w:val="004E196E"/>
    <w:rsid w:val="00504B73"/>
    <w:rsid w:val="00530D6C"/>
    <w:rsid w:val="00530F2D"/>
    <w:rsid w:val="0054135A"/>
    <w:rsid w:val="0056184D"/>
    <w:rsid w:val="00564A3A"/>
    <w:rsid w:val="005B59EF"/>
    <w:rsid w:val="005B7F27"/>
    <w:rsid w:val="005D0745"/>
    <w:rsid w:val="005D50EC"/>
    <w:rsid w:val="005D7BC0"/>
    <w:rsid w:val="005E093A"/>
    <w:rsid w:val="005E3E45"/>
    <w:rsid w:val="005F73DF"/>
    <w:rsid w:val="0060386A"/>
    <w:rsid w:val="0060717C"/>
    <w:rsid w:val="006073C8"/>
    <w:rsid w:val="00617840"/>
    <w:rsid w:val="006234AC"/>
    <w:rsid w:val="00646180"/>
    <w:rsid w:val="00653E59"/>
    <w:rsid w:val="006555C3"/>
    <w:rsid w:val="0065670B"/>
    <w:rsid w:val="00665D49"/>
    <w:rsid w:val="006809C8"/>
    <w:rsid w:val="00680F60"/>
    <w:rsid w:val="00682053"/>
    <w:rsid w:val="006828C8"/>
    <w:rsid w:val="006A47E8"/>
    <w:rsid w:val="006F0FA2"/>
    <w:rsid w:val="0071165B"/>
    <w:rsid w:val="007136AC"/>
    <w:rsid w:val="00744C0C"/>
    <w:rsid w:val="00757F8B"/>
    <w:rsid w:val="00773E75"/>
    <w:rsid w:val="0078510E"/>
    <w:rsid w:val="007A15F5"/>
    <w:rsid w:val="007A372F"/>
    <w:rsid w:val="007B0749"/>
    <w:rsid w:val="007D027C"/>
    <w:rsid w:val="008118DA"/>
    <w:rsid w:val="00816F7A"/>
    <w:rsid w:val="00820013"/>
    <w:rsid w:val="00820D2E"/>
    <w:rsid w:val="00843600"/>
    <w:rsid w:val="00844535"/>
    <w:rsid w:val="0084743C"/>
    <w:rsid w:val="00847946"/>
    <w:rsid w:val="00857F1A"/>
    <w:rsid w:val="008B7034"/>
    <w:rsid w:val="008C1DFA"/>
    <w:rsid w:val="008C518A"/>
    <w:rsid w:val="008E7AF3"/>
    <w:rsid w:val="00924691"/>
    <w:rsid w:val="00935A14"/>
    <w:rsid w:val="009440AE"/>
    <w:rsid w:val="0095382D"/>
    <w:rsid w:val="009547E4"/>
    <w:rsid w:val="0096256D"/>
    <w:rsid w:val="00976E19"/>
    <w:rsid w:val="009865F9"/>
    <w:rsid w:val="00987FCA"/>
    <w:rsid w:val="009907E1"/>
    <w:rsid w:val="0099210D"/>
    <w:rsid w:val="00997511"/>
    <w:rsid w:val="009C4B27"/>
    <w:rsid w:val="009D00A5"/>
    <w:rsid w:val="009D019B"/>
    <w:rsid w:val="009D372A"/>
    <w:rsid w:val="009F7DB5"/>
    <w:rsid w:val="00A07D11"/>
    <w:rsid w:val="00A156CA"/>
    <w:rsid w:val="00A17233"/>
    <w:rsid w:val="00A179B2"/>
    <w:rsid w:val="00A40424"/>
    <w:rsid w:val="00A64FAD"/>
    <w:rsid w:val="00A75863"/>
    <w:rsid w:val="00AA141E"/>
    <w:rsid w:val="00AA4CCE"/>
    <w:rsid w:val="00AC1EB8"/>
    <w:rsid w:val="00AC5B93"/>
    <w:rsid w:val="00AD6F7C"/>
    <w:rsid w:val="00AF38B5"/>
    <w:rsid w:val="00B10EC7"/>
    <w:rsid w:val="00B15033"/>
    <w:rsid w:val="00B234A1"/>
    <w:rsid w:val="00B66E51"/>
    <w:rsid w:val="00B927A9"/>
    <w:rsid w:val="00BB088D"/>
    <w:rsid w:val="00BC1B87"/>
    <w:rsid w:val="00BC2461"/>
    <w:rsid w:val="00BD76B2"/>
    <w:rsid w:val="00C006F4"/>
    <w:rsid w:val="00C125C1"/>
    <w:rsid w:val="00C26D35"/>
    <w:rsid w:val="00C3691C"/>
    <w:rsid w:val="00C46622"/>
    <w:rsid w:val="00C46853"/>
    <w:rsid w:val="00C70A16"/>
    <w:rsid w:val="00C762B1"/>
    <w:rsid w:val="00C840D9"/>
    <w:rsid w:val="00CA2E64"/>
    <w:rsid w:val="00CA37B3"/>
    <w:rsid w:val="00CB5B40"/>
    <w:rsid w:val="00D026D4"/>
    <w:rsid w:val="00D1478E"/>
    <w:rsid w:val="00D233A4"/>
    <w:rsid w:val="00D2747F"/>
    <w:rsid w:val="00D33AFC"/>
    <w:rsid w:val="00D34107"/>
    <w:rsid w:val="00D44884"/>
    <w:rsid w:val="00D47A68"/>
    <w:rsid w:val="00D870F5"/>
    <w:rsid w:val="00D91C9A"/>
    <w:rsid w:val="00DC12E4"/>
    <w:rsid w:val="00DC3674"/>
    <w:rsid w:val="00DC40E0"/>
    <w:rsid w:val="00DE68A1"/>
    <w:rsid w:val="00E03656"/>
    <w:rsid w:val="00E23DAF"/>
    <w:rsid w:val="00E30D85"/>
    <w:rsid w:val="00E32280"/>
    <w:rsid w:val="00E45168"/>
    <w:rsid w:val="00E5355A"/>
    <w:rsid w:val="00E90CD1"/>
    <w:rsid w:val="00EA5A20"/>
    <w:rsid w:val="00EA73B8"/>
    <w:rsid w:val="00EB34A0"/>
    <w:rsid w:val="00EB5615"/>
    <w:rsid w:val="00F0391D"/>
    <w:rsid w:val="00F24698"/>
    <w:rsid w:val="00F25CC0"/>
    <w:rsid w:val="00F2752C"/>
    <w:rsid w:val="00F308AD"/>
    <w:rsid w:val="00F3179C"/>
    <w:rsid w:val="00F345E0"/>
    <w:rsid w:val="00F43DAE"/>
    <w:rsid w:val="00F5190A"/>
    <w:rsid w:val="00F55D9C"/>
    <w:rsid w:val="00F6191C"/>
    <w:rsid w:val="00F6325D"/>
    <w:rsid w:val="00F80162"/>
    <w:rsid w:val="00F90D71"/>
    <w:rsid w:val="00F976FF"/>
    <w:rsid w:val="00F97EB8"/>
    <w:rsid w:val="00FA144A"/>
    <w:rsid w:val="00FA75FE"/>
    <w:rsid w:val="00FC02A0"/>
    <w:rsid w:val="00FC6441"/>
    <w:rsid w:val="00FD3481"/>
    <w:rsid w:val="00FE4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E62A"/>
  <w15:chartTrackingRefBased/>
  <w15:docId w15:val="{453C8709-A8CA-47AF-9E5D-56C4CDC7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F6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680F60"/>
    <w:pPr>
      <w:jc w:val="both"/>
    </w:pPr>
    <w:rPr>
      <w:color w:val="000000"/>
      <w:sz w:val="28"/>
    </w:rPr>
  </w:style>
  <w:style w:type="character" w:customStyle="1" w:styleId="30">
    <w:name w:val="Основной текст 3 Знак"/>
    <w:basedOn w:val="a0"/>
    <w:link w:val="3"/>
    <w:rsid w:val="00680F60"/>
    <w:rPr>
      <w:rFonts w:ascii="Times New Roman" w:eastAsia="Times New Roman" w:hAnsi="Times New Roman" w:cs="Times New Roman"/>
      <w:color w:val="000000"/>
      <w:sz w:val="28"/>
      <w:szCs w:val="24"/>
      <w:lang w:val="uk-UA" w:eastAsia="ru-RU"/>
    </w:rPr>
  </w:style>
  <w:style w:type="paragraph" w:styleId="a3">
    <w:name w:val="List Paragraph"/>
    <w:basedOn w:val="a"/>
    <w:uiPriority w:val="34"/>
    <w:qFormat/>
    <w:rsid w:val="00020A25"/>
    <w:pPr>
      <w:ind w:left="720"/>
      <w:contextualSpacing/>
    </w:pPr>
  </w:style>
  <w:style w:type="paragraph" w:styleId="a4">
    <w:name w:val="Balloon Text"/>
    <w:basedOn w:val="a"/>
    <w:link w:val="a5"/>
    <w:uiPriority w:val="99"/>
    <w:semiHidden/>
    <w:unhideWhenUsed/>
    <w:rsid w:val="0078510E"/>
    <w:rPr>
      <w:rFonts w:ascii="Segoe UI" w:hAnsi="Segoe UI" w:cs="Segoe UI"/>
      <w:sz w:val="18"/>
      <w:szCs w:val="18"/>
    </w:rPr>
  </w:style>
  <w:style w:type="character" w:customStyle="1" w:styleId="a5">
    <w:name w:val="Текст выноски Знак"/>
    <w:basedOn w:val="a0"/>
    <w:link w:val="a4"/>
    <w:uiPriority w:val="99"/>
    <w:semiHidden/>
    <w:rsid w:val="0078510E"/>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543583">
      <w:bodyDiv w:val="1"/>
      <w:marLeft w:val="0"/>
      <w:marRight w:val="0"/>
      <w:marTop w:val="0"/>
      <w:marBottom w:val="0"/>
      <w:divBdr>
        <w:top w:val="none" w:sz="0" w:space="0" w:color="auto"/>
        <w:left w:val="none" w:sz="0" w:space="0" w:color="auto"/>
        <w:bottom w:val="none" w:sz="0" w:space="0" w:color="auto"/>
        <w:right w:val="none" w:sz="0" w:space="0" w:color="auto"/>
      </w:divBdr>
    </w:div>
    <w:div w:id="55728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38097\OneDrive\&#1056;&#1072;&#1073;&#1086;&#1095;&#1080;&#1081;%20&#1089;&#1090;&#1086;&#1083;\&#1030;&#1085;&#1085;&#1072;\&#1065;&#1086;&#1082;&#1074;&#1072;&#1088;&#1090;&#1072;&#1083;&#1100;&#1085;&#1080;&#1081;%20&#1079;&#1074;&#1110;&#1090;\&#1044;&#1110;&#1072;&#1075;&#1088;&#1072;&#1084;&#1084;&#1072;\&#1044;&#1080;&#1072;&#1075;&#1088;&#1072;&#1084;&#1084;&#1072;%20&#1058;&#1077;&#1084;&#1072;&#1090;&#1080;&#1082;&#107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38097\OneDrive\&#1056;&#1072;&#1073;&#1086;&#1095;&#1080;&#1081;%20&#1089;&#1090;&#1086;&#1083;\&#1030;&#1085;&#1085;&#1072;\&#1065;&#1086;&#1082;&#1074;&#1072;&#1088;&#1090;&#1072;&#1083;&#1100;&#1085;&#1080;&#1081;%20&#1079;&#1074;&#1110;&#1090;\&#1044;&#1110;&#1072;&#1075;&#1088;&#1072;&#1084;&#1084;&#1072;\&#1057;&#1086;&#1094;.&#1057;&#1090;&#1072;&#108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38097\OneDrive\&#1056;&#1072;&#1073;&#1086;&#1095;&#1080;&#1081;%20&#1089;&#1090;&#1086;&#1083;\&#1030;&#1085;&#1085;&#1072;\&#1065;&#1086;&#1082;&#1074;&#1072;&#1088;&#1090;&#1072;&#1083;&#1100;&#1085;&#1080;&#1081;%20&#1079;&#1074;&#1110;&#1090;\&#1044;&#1110;&#1072;&#1075;&#1088;&#1072;&#1084;&#1084;&#1072;\&#1050;&#1072;&#1090;&#1077;&#1075;&#1086;&#1088;%20&#1047;&#1072;&#1103;&#1074;&#108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8806382754787233"/>
          <c:y val="2.228163992869875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48955804866496949"/>
          <c:y val="7.4687751643368064E-2"/>
          <c:w val="0.47677438089187507"/>
          <c:h val="0.8740203110911553"/>
        </c:manualLayout>
      </c:layout>
      <c:barChart>
        <c:barDir val="bar"/>
        <c:grouping val="clustered"/>
        <c:varyColors val="0"/>
        <c:ser>
          <c:idx val="5"/>
          <c:order val="5"/>
          <c:tx>
            <c:strRef>
              <c:f>Лист1!$G$1</c:f>
              <c:strCache>
                <c:ptCount val="1"/>
                <c:pt idx="0">
                  <c:v>2024</c:v>
                </c:pt>
              </c:strCache>
            </c:strRef>
          </c:tx>
          <c:spPr>
            <a:solidFill>
              <a:schemeClr val="accent6"/>
            </a:solidFill>
            <a:ln>
              <a:noFill/>
            </a:ln>
            <a:effectLst/>
          </c:spPr>
          <c:invertIfNegative val="0"/>
          <c:dLbls>
            <c:dLbl>
              <c:idx val="0"/>
              <c:layout>
                <c:manualLayout>
                  <c:x val="1.1307420494699575E-2"/>
                  <c:y val="9.233610341643582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FE-429B-A886-2D73FC6FD8B5}"/>
                </c:ext>
              </c:extLst>
            </c:dLbl>
            <c:dLbl>
              <c:idx val="1"/>
              <c:layout>
                <c:manualLayout>
                  <c:x val="6.6214691361459604E-2"/>
                  <c:y val="4.616805170821791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FE-429B-A886-2D73FC6FD8B5}"/>
                </c:ext>
              </c:extLst>
            </c:dLbl>
            <c:dLbl>
              <c:idx val="3"/>
              <c:layout>
                <c:manualLayout>
                  <c:x val="4.6567967698519515E-2"/>
                  <c:y val="9.201748332183115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FE-429B-A886-2D73FC6FD8B5}"/>
                </c:ext>
              </c:extLst>
            </c:dLbl>
            <c:dLbl>
              <c:idx val="4"/>
              <c:layout>
                <c:manualLayout>
                  <c:x val="6.4409731421526548E-2"/>
                  <c:y val="-2.300437083045947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FE-429B-A886-2D73FC6FD8B5}"/>
                </c:ext>
              </c:extLst>
            </c:dLbl>
            <c:dLbl>
              <c:idx val="6"/>
              <c:layout>
                <c:manualLayout>
                  <c:x val="-3.3275528058992628E-3"/>
                  <c:y val="9.551098376313276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BFE-429B-A886-2D73FC6FD8B5}"/>
                </c:ext>
              </c:extLst>
            </c:dLbl>
            <c:dLbl>
              <c:idx val="7"/>
              <c:layout>
                <c:manualLayout>
                  <c:x val="1.1935070616172978E-2"/>
                  <c:y val="2.38777459407831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FE-429B-A886-2D73FC6FD8B5}"/>
                </c:ext>
              </c:extLst>
            </c:dLbl>
            <c:dLbl>
              <c:idx val="17"/>
              <c:layout>
                <c:manualLayout>
                  <c:x val="7.6362762864601551E-3"/>
                  <c:y val="1.15021854152288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BFE-429B-A886-2D73FC6FD8B5}"/>
                </c:ext>
              </c:extLst>
            </c:dLbl>
            <c:dLbl>
              <c:idx val="18"/>
              <c:layout>
                <c:manualLayout>
                  <c:x val="-6.5589950650515927E-2"/>
                  <c:y val="1.610315014970954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uk-UA"/>
                </a:p>
              </c:txPr>
              <c:dLblPos val="outEnd"/>
              <c:showLegendKey val="0"/>
              <c:showVal val="1"/>
              <c:showCatName val="0"/>
              <c:showSerName val="0"/>
              <c:showPercent val="0"/>
              <c:showBubbleSize val="0"/>
              <c:extLst>
                <c:ext xmlns:c15="http://schemas.microsoft.com/office/drawing/2012/chart" uri="{CE6537A1-D6FC-4f65-9D91-7224C49458BB}">
                  <c15:layout>
                    <c:manualLayout>
                      <c:w val="0.10148048452220727"/>
                      <c:h val="3.9073014423921644E-2"/>
                    </c:manualLayout>
                  </c15:layout>
                </c:ext>
                <c:ext xmlns:c16="http://schemas.microsoft.com/office/drawing/2014/chart" uri="{C3380CC4-5D6E-409C-BE32-E72D297353CC}">
                  <c16:uniqueId val="{00000007-2BFE-429B-A886-2D73FC6FD8B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Лист1!$A$2:$A$20</c:f>
              <c:strCache>
                <c:ptCount val="19"/>
                <c:pt idx="0">
                  <c:v>аграрної політики і земельних відносин </c:v>
                </c:pt>
                <c:pt idx="1">
                  <c:v>транспорту і зв’язку</c:v>
                </c:pt>
                <c:pt idx="2">
                  <c:v>фінансової, податкової, митної політики</c:v>
                </c:pt>
                <c:pt idx="3">
                  <c:v>соціального захисту</c:v>
                </c:pt>
                <c:pt idx="4">
                  <c:v>праці і заробітної плати, охорони праці, промислової безпеки</c:v>
                </c:pt>
                <c:pt idx="5">
                  <c:v>охорони  здоров’я</c:v>
                </c:pt>
                <c:pt idx="6">
                  <c:v>комунального господарства</c:v>
                </c:pt>
                <c:pt idx="7">
                  <c:v>житлової політики</c:v>
                </c:pt>
                <c:pt idx="8">
                  <c:v>екології та природних ресурсів</c:v>
                </c:pt>
                <c:pt idx="9">
                  <c:v>забезпечення дотримання законності та охорони правопорядку, запобігання дискримінації </c:v>
                </c:pt>
                <c:pt idx="10">
                  <c:v>сімейної та гендерної політики, захисту прав дітей</c:v>
                </c:pt>
                <c:pt idx="11">
                  <c:v>освіти, наукової, науково-технічної, інноваційної діяльності</c:v>
                </c:pt>
                <c:pt idx="12">
                  <c:v>діяльності об’єднань громадян, релігії,міжконфесійних відн.</c:v>
                </c:pt>
                <c:pt idx="13">
                  <c:v>діяльності центральних органів виконавчої влади</c:v>
                </c:pt>
                <c:pt idx="14">
                  <c:v>діяльності місцевих органів виконавчої влади</c:v>
                </c:pt>
                <c:pt idx="15">
                  <c:v>діяльності органів місцевого  самоврядування</c:v>
                </c:pt>
                <c:pt idx="16">
                  <c:v>обороноздадтності, суверенітету, міждержавних відносен</c:v>
                </c:pt>
                <c:pt idx="17">
                  <c:v>інші</c:v>
                </c:pt>
                <c:pt idx="18">
                  <c:v>Всього</c:v>
                </c:pt>
              </c:strCache>
            </c:strRef>
          </c:cat>
          <c:val>
            <c:numRef>
              <c:f>Лист1!$G$2:$G$20</c:f>
              <c:numCache>
                <c:formatCode>General</c:formatCode>
                <c:ptCount val="19"/>
                <c:pt idx="0">
                  <c:v>1674</c:v>
                </c:pt>
                <c:pt idx="1">
                  <c:v>106</c:v>
                </c:pt>
                <c:pt idx="2">
                  <c:v>81</c:v>
                </c:pt>
                <c:pt idx="3">
                  <c:v>1733</c:v>
                </c:pt>
                <c:pt idx="4">
                  <c:v>75</c:v>
                </c:pt>
                <c:pt idx="5">
                  <c:v>76</c:v>
                </c:pt>
                <c:pt idx="6">
                  <c:v>390</c:v>
                </c:pt>
                <c:pt idx="7">
                  <c:v>443</c:v>
                </c:pt>
                <c:pt idx="8">
                  <c:v>114</c:v>
                </c:pt>
                <c:pt idx="9">
                  <c:v>329</c:v>
                </c:pt>
                <c:pt idx="10">
                  <c:v>286</c:v>
                </c:pt>
                <c:pt idx="11">
                  <c:v>41</c:v>
                </c:pt>
                <c:pt idx="12">
                  <c:v>2</c:v>
                </c:pt>
                <c:pt idx="13">
                  <c:v>3</c:v>
                </c:pt>
                <c:pt idx="14">
                  <c:v>10</c:v>
                </c:pt>
                <c:pt idx="15">
                  <c:v>64</c:v>
                </c:pt>
                <c:pt idx="16">
                  <c:v>9</c:v>
                </c:pt>
                <c:pt idx="17">
                  <c:v>734</c:v>
                </c:pt>
                <c:pt idx="18">
                  <c:v>6170</c:v>
                </c:pt>
              </c:numCache>
            </c:numRef>
          </c:val>
          <c:extLst>
            <c:ext xmlns:c16="http://schemas.microsoft.com/office/drawing/2014/chart" uri="{C3380CC4-5D6E-409C-BE32-E72D297353CC}">
              <c16:uniqueId val="{00000008-2BFE-429B-A886-2D73FC6FD8B5}"/>
            </c:ext>
          </c:extLst>
        </c:ser>
        <c:ser>
          <c:idx val="6"/>
          <c:order val="6"/>
          <c:tx>
            <c:strRef>
              <c:f>Лист1!$H$1</c:f>
              <c:strCache>
                <c:ptCount val="1"/>
                <c:pt idx="0">
                  <c:v>2025</c:v>
                </c:pt>
              </c:strCache>
            </c:strRef>
          </c:tx>
          <c:spPr>
            <a:solidFill>
              <a:schemeClr val="accent1">
                <a:lumMod val="60000"/>
              </a:schemeClr>
            </a:solidFill>
            <a:ln>
              <a:noFill/>
            </a:ln>
            <a:effectLst/>
          </c:spPr>
          <c:invertIfNegative val="0"/>
          <c:dLbls>
            <c:dLbl>
              <c:idx val="0"/>
              <c:layout>
                <c:manualLayout>
                  <c:x val="5.8421672555948101E-2"/>
                  <c:y val="-1.15420129270544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BFE-429B-A886-2D73FC6FD8B5}"/>
                </c:ext>
              </c:extLst>
            </c:dLbl>
            <c:dLbl>
              <c:idx val="2"/>
              <c:layout>
                <c:manualLayout>
                  <c:x val="3.253277307362152E-2"/>
                  <c:y val="-2.3003465146566823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uk-UA"/>
                </a:p>
              </c:txPr>
              <c:dLblPos val="outEnd"/>
              <c:showLegendKey val="0"/>
              <c:showVal val="1"/>
              <c:showCatName val="0"/>
              <c:showSerName val="0"/>
              <c:showPercent val="0"/>
              <c:showBubbleSize val="0"/>
              <c:extLst>
                <c:ext xmlns:c15="http://schemas.microsoft.com/office/drawing/2012/chart" uri="{CE6537A1-D6FC-4f65-9D91-7224C49458BB}">
                  <c15:layout>
                    <c:manualLayout>
                      <c:w val="8.1022880215343193E-2"/>
                      <c:h val="2.2969954842601194E-2"/>
                    </c:manualLayout>
                  </c15:layout>
                </c:ext>
                <c:ext xmlns:c16="http://schemas.microsoft.com/office/drawing/2014/chart" uri="{C3380CC4-5D6E-409C-BE32-E72D297353CC}">
                  <c16:uniqueId val="{0000000A-2BFE-429B-A886-2D73FC6FD8B5}"/>
                </c:ext>
              </c:extLst>
            </c:dLbl>
            <c:dLbl>
              <c:idx val="3"/>
              <c:layout>
                <c:manualLayout>
                  <c:x val="-9.5107265360335185E-3"/>
                  <c:y val="-1.380262249827458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uk-UA"/>
                </a:p>
              </c:txPr>
              <c:dLblPos val="outEnd"/>
              <c:showLegendKey val="0"/>
              <c:showVal val="1"/>
              <c:showCatName val="0"/>
              <c:showSerName val="0"/>
              <c:showPercent val="0"/>
              <c:showBubbleSize val="0"/>
              <c:extLst>
                <c:ext xmlns:c15="http://schemas.microsoft.com/office/drawing/2012/chart" uri="{CE6537A1-D6FC-4f65-9D91-7224C49458BB}">
                  <c15:layout>
                    <c:manualLayout>
                      <c:w val="0.12391206819201434"/>
                      <c:h val="4.5974325673058987E-2"/>
                    </c:manualLayout>
                  </c15:layout>
                </c:ext>
                <c:ext xmlns:c16="http://schemas.microsoft.com/office/drawing/2014/chart" uri="{C3380CC4-5D6E-409C-BE32-E72D297353CC}">
                  <c16:uniqueId val="{0000000B-2BFE-429B-A886-2D73FC6FD8B5}"/>
                </c:ext>
              </c:extLst>
            </c:dLbl>
            <c:dLbl>
              <c:idx val="5"/>
              <c:layout>
                <c:manualLayout>
                  <c:x val="6.776559180102487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BFE-429B-A886-2D73FC6FD8B5}"/>
                </c:ext>
              </c:extLst>
            </c:dLbl>
            <c:dLbl>
              <c:idx val="6"/>
              <c:layout>
                <c:manualLayout>
                  <c:x val="3.598878265216847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BFE-429B-A886-2D73FC6FD8B5}"/>
                </c:ext>
              </c:extLst>
            </c:dLbl>
            <c:dLbl>
              <c:idx val="7"/>
              <c:layout>
                <c:manualLayout>
                  <c:x val="5.207536557930259E-2"/>
                  <c:y val="-2.38777459407831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BFE-429B-A886-2D73FC6FD8B5}"/>
                </c:ext>
              </c:extLst>
            </c:dLbl>
            <c:dLbl>
              <c:idx val="8"/>
              <c:layout>
                <c:manualLayout>
                  <c:x val="4.7100049993750781E-2"/>
                  <c:y val="-7.163323782234957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BFE-429B-A886-2D73FC6FD8B5}"/>
                </c:ext>
              </c:extLst>
            </c:dLbl>
            <c:dLbl>
              <c:idx val="9"/>
              <c:layout>
                <c:manualLayout>
                  <c:x val="4.9084176977877765E-2"/>
                  <c:y val="-7.163323782234957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BFE-429B-A886-2D73FC6FD8B5}"/>
                </c:ext>
              </c:extLst>
            </c:dLbl>
            <c:dLbl>
              <c:idx val="10"/>
              <c:layout>
                <c:manualLayout>
                  <c:x val="3.885826771653543E-2"/>
                  <c:y val="-7.163323782234957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BFE-429B-A886-2D73FC6FD8B5}"/>
                </c:ext>
              </c:extLst>
            </c:dLbl>
            <c:dLbl>
              <c:idx val="11"/>
              <c:layout>
                <c:manualLayout>
                  <c:x val="5.653230846144231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BFE-429B-A886-2D73FC6FD8B5}"/>
                </c:ext>
              </c:extLst>
            </c:dLbl>
            <c:dLbl>
              <c:idx val="12"/>
              <c:layout>
                <c:manualLayout>
                  <c:x val="5.525028121484814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BFE-429B-A886-2D73FC6FD8B5}"/>
                </c:ext>
              </c:extLst>
            </c:dLbl>
            <c:dLbl>
              <c:idx val="13"/>
              <c:layout>
                <c:manualLayout>
                  <c:x val="5.3510342457192848E-2"/>
                  <c:y val="-5.9695304920696218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uk-UA"/>
                </a:p>
              </c:txPr>
              <c:dLblPos val="outEnd"/>
              <c:showLegendKey val="0"/>
              <c:showVal val="1"/>
              <c:showCatName val="0"/>
              <c:showSerName val="0"/>
              <c:showPercent val="0"/>
              <c:showBubbleSize val="0"/>
              <c:extLst>
                <c:ext xmlns:c15="http://schemas.microsoft.com/office/drawing/2012/chart" uri="{CE6537A1-D6FC-4f65-9D91-7224C49458BB}">
                  <c15:layout>
                    <c:manualLayout>
                      <c:w val="4.0793650793650792E-2"/>
                      <c:h val="2.6229797922824118E-2"/>
                    </c:manualLayout>
                  </c15:layout>
                </c:ext>
                <c:ext xmlns:c16="http://schemas.microsoft.com/office/drawing/2014/chart" uri="{C3380CC4-5D6E-409C-BE32-E72D297353CC}">
                  <c16:uniqueId val="{00000014-2BFE-429B-A886-2D73FC6FD8B5}"/>
                </c:ext>
              </c:extLst>
            </c:dLbl>
            <c:dLbl>
              <c:idx val="14"/>
              <c:layout>
                <c:manualLayout>
                  <c:x val="3.727112235970504E-2"/>
                  <c:y val="2.387774594078275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BFE-429B-A886-2D73FC6FD8B5}"/>
                </c:ext>
              </c:extLst>
            </c:dLbl>
            <c:dLbl>
              <c:idx val="15"/>
              <c:layout>
                <c:manualLayout>
                  <c:x val="4.1078058378638066E-2"/>
                  <c:y val="-4.60087416609155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BFE-429B-A886-2D73FC6FD8B5}"/>
                </c:ext>
              </c:extLst>
            </c:dLbl>
            <c:dLbl>
              <c:idx val="16"/>
              <c:layout>
                <c:manualLayout>
                  <c:x val="0.12337371018393899"/>
                  <c:y val="-2.108709632798342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BFE-429B-A886-2D73FC6FD8B5}"/>
                </c:ext>
              </c:extLst>
            </c:dLbl>
            <c:dLbl>
              <c:idx val="17"/>
              <c:layout>
                <c:manualLayout>
                  <c:x val="2.1853837920327253E-2"/>
                  <c:y val="-2.30043708304579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BFE-429B-A886-2D73FC6FD8B5}"/>
                </c:ext>
              </c:extLst>
            </c:dLbl>
            <c:dLbl>
              <c:idx val="18"/>
              <c:layout>
                <c:manualLayout>
                  <c:x val="1.864651786947669E-2"/>
                  <c:y val="-1.850577919070277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uk-UA"/>
                </a:p>
              </c:txPr>
              <c:dLblPos val="outEnd"/>
              <c:showLegendKey val="0"/>
              <c:showVal val="1"/>
              <c:showCatName val="0"/>
              <c:showSerName val="0"/>
              <c:showPercent val="0"/>
              <c:showBubbleSize val="0"/>
              <c:extLst>
                <c:ext xmlns:c15="http://schemas.microsoft.com/office/drawing/2012/chart" uri="{CE6537A1-D6FC-4f65-9D91-7224C49458BB}">
                  <c15:layout>
                    <c:manualLayout>
                      <c:w val="0.14252297410192147"/>
                      <c:h val="4.675810911336617E-2"/>
                    </c:manualLayout>
                  </c15:layout>
                </c:ext>
                <c:ext xmlns:c16="http://schemas.microsoft.com/office/drawing/2014/chart" uri="{C3380CC4-5D6E-409C-BE32-E72D297353CC}">
                  <c16:uniqueId val="{00000019-2BFE-429B-A886-2D73FC6FD8B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Лист1!$A$2:$A$20</c:f>
              <c:strCache>
                <c:ptCount val="19"/>
                <c:pt idx="0">
                  <c:v>аграрної політики і земельних відносин </c:v>
                </c:pt>
                <c:pt idx="1">
                  <c:v>транспорту і зв’язку</c:v>
                </c:pt>
                <c:pt idx="2">
                  <c:v>фінансової, податкової, митної політики</c:v>
                </c:pt>
                <c:pt idx="3">
                  <c:v>соціального захисту</c:v>
                </c:pt>
                <c:pt idx="4">
                  <c:v>праці і заробітної плати, охорони праці, промислової безпеки</c:v>
                </c:pt>
                <c:pt idx="5">
                  <c:v>охорони  здоров’я</c:v>
                </c:pt>
                <c:pt idx="6">
                  <c:v>комунального господарства</c:v>
                </c:pt>
                <c:pt idx="7">
                  <c:v>житлової політики</c:v>
                </c:pt>
                <c:pt idx="8">
                  <c:v>екології та природних ресурсів</c:v>
                </c:pt>
                <c:pt idx="9">
                  <c:v>забезпечення дотримання законності та охорони правопорядку, запобігання дискримінації </c:v>
                </c:pt>
                <c:pt idx="10">
                  <c:v>сімейної та гендерної політики, захисту прав дітей</c:v>
                </c:pt>
                <c:pt idx="11">
                  <c:v>освіти, наукової, науково-технічної, інноваційної діяльності</c:v>
                </c:pt>
                <c:pt idx="12">
                  <c:v>діяльності об’єднань громадян, релігії,міжконфесійних відн.</c:v>
                </c:pt>
                <c:pt idx="13">
                  <c:v>діяльності центральних органів виконавчої влади</c:v>
                </c:pt>
                <c:pt idx="14">
                  <c:v>діяльності місцевих органів виконавчої влади</c:v>
                </c:pt>
                <c:pt idx="15">
                  <c:v>діяльності органів місцевого  самоврядування</c:v>
                </c:pt>
                <c:pt idx="16">
                  <c:v>обороноздадтності, суверенітету, міждержавних відносен</c:v>
                </c:pt>
                <c:pt idx="17">
                  <c:v>інші</c:v>
                </c:pt>
                <c:pt idx="18">
                  <c:v>Всього</c:v>
                </c:pt>
              </c:strCache>
            </c:strRef>
          </c:cat>
          <c:val>
            <c:numRef>
              <c:f>Лист1!$H$2:$H$20</c:f>
              <c:numCache>
                <c:formatCode>General</c:formatCode>
                <c:ptCount val="19"/>
                <c:pt idx="0">
                  <c:v>1025</c:v>
                </c:pt>
                <c:pt idx="1">
                  <c:v>50</c:v>
                </c:pt>
                <c:pt idx="2">
                  <c:v>114</c:v>
                </c:pt>
                <c:pt idx="3">
                  <c:v>1835</c:v>
                </c:pt>
                <c:pt idx="4">
                  <c:v>56</c:v>
                </c:pt>
                <c:pt idx="5">
                  <c:v>76</c:v>
                </c:pt>
                <c:pt idx="6">
                  <c:v>311</c:v>
                </c:pt>
                <c:pt idx="7">
                  <c:v>386</c:v>
                </c:pt>
                <c:pt idx="8">
                  <c:v>115</c:v>
                </c:pt>
                <c:pt idx="9">
                  <c:v>300</c:v>
                </c:pt>
                <c:pt idx="10">
                  <c:v>221</c:v>
                </c:pt>
                <c:pt idx="11">
                  <c:v>30</c:v>
                </c:pt>
                <c:pt idx="12">
                  <c:v>12</c:v>
                </c:pt>
                <c:pt idx="13">
                  <c:v>1</c:v>
                </c:pt>
                <c:pt idx="14">
                  <c:v>1</c:v>
                </c:pt>
                <c:pt idx="15">
                  <c:v>173</c:v>
                </c:pt>
                <c:pt idx="16">
                  <c:v>31</c:v>
                </c:pt>
                <c:pt idx="17">
                  <c:v>1445</c:v>
                </c:pt>
                <c:pt idx="18">
                  <c:v>6182</c:v>
                </c:pt>
              </c:numCache>
            </c:numRef>
          </c:val>
          <c:extLst>
            <c:ext xmlns:c16="http://schemas.microsoft.com/office/drawing/2014/chart" uri="{C3380CC4-5D6E-409C-BE32-E72D297353CC}">
              <c16:uniqueId val="{0000001A-2BFE-429B-A886-2D73FC6FD8B5}"/>
            </c:ext>
          </c:extLst>
        </c:ser>
        <c:dLbls>
          <c:dLblPos val="inEnd"/>
          <c:showLegendKey val="0"/>
          <c:showVal val="1"/>
          <c:showCatName val="0"/>
          <c:showSerName val="0"/>
          <c:showPercent val="0"/>
          <c:showBubbleSize val="0"/>
        </c:dLbls>
        <c:gapWidth val="182"/>
        <c:axId val="-820692848"/>
        <c:axId val="-820695024"/>
        <c:extLst>
          <c:ext xmlns:c15="http://schemas.microsoft.com/office/drawing/2012/chart" uri="{02D57815-91ED-43cb-92C2-25804820EDAC}">
            <c15:filteredBarSeries>
              <c15:ser>
                <c:idx val="0"/>
                <c:order val="0"/>
                <c:tx>
                  <c:strRef>
                    <c:extLst>
                      <c:ext uri="{02D57815-91ED-43cb-92C2-25804820EDAC}">
                        <c15:formulaRef>
                          <c15:sqref>Лист1!$B$1</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Лист1!$A$2:$A$20</c15:sqref>
                        </c15:formulaRef>
                      </c:ext>
                    </c:extLst>
                    <c:strCache>
                      <c:ptCount val="19"/>
                      <c:pt idx="0">
                        <c:v>аграрної політики і земельних відносин </c:v>
                      </c:pt>
                      <c:pt idx="1">
                        <c:v>транспорту і зв’язку</c:v>
                      </c:pt>
                      <c:pt idx="2">
                        <c:v>фінансової, податкової, митної політики</c:v>
                      </c:pt>
                      <c:pt idx="3">
                        <c:v>соціального захисту</c:v>
                      </c:pt>
                      <c:pt idx="4">
                        <c:v>праці і заробітної плати, охорони праці, промислової безпеки</c:v>
                      </c:pt>
                      <c:pt idx="5">
                        <c:v>охорони  здоров’я</c:v>
                      </c:pt>
                      <c:pt idx="6">
                        <c:v>комунального господарства</c:v>
                      </c:pt>
                      <c:pt idx="7">
                        <c:v>житлової політики</c:v>
                      </c:pt>
                      <c:pt idx="8">
                        <c:v>екології та природних ресурсів</c:v>
                      </c:pt>
                      <c:pt idx="9">
                        <c:v>забезпечення дотримання законності та охорони правопорядку, запобігання дискримінації </c:v>
                      </c:pt>
                      <c:pt idx="10">
                        <c:v>сімейної та гендерної політики, захисту прав дітей</c:v>
                      </c:pt>
                      <c:pt idx="11">
                        <c:v>освіти, наукової, науково-технічної, інноваційної діяльності</c:v>
                      </c:pt>
                      <c:pt idx="12">
                        <c:v>діяльності об’єднань громадян, релігії,міжконфесійних відн.</c:v>
                      </c:pt>
                      <c:pt idx="13">
                        <c:v>діяльності центральних органів виконавчої влади</c:v>
                      </c:pt>
                      <c:pt idx="14">
                        <c:v>діяльності місцевих органів виконавчої влади</c:v>
                      </c:pt>
                      <c:pt idx="15">
                        <c:v>діяльності органів місцевого  самоврядування</c:v>
                      </c:pt>
                      <c:pt idx="16">
                        <c:v>обороноздадтності, суверенітету, міждержавних відносен</c:v>
                      </c:pt>
                      <c:pt idx="17">
                        <c:v>інші</c:v>
                      </c:pt>
                      <c:pt idx="18">
                        <c:v>Всього</c:v>
                      </c:pt>
                    </c:strCache>
                  </c:strRef>
                </c:cat>
                <c:val>
                  <c:numRef>
                    <c:extLst>
                      <c:ext uri="{02D57815-91ED-43cb-92C2-25804820EDAC}">
                        <c15:formulaRef>
                          <c15:sqref>Лист1!$B$2:$B$20</c15:sqref>
                        </c15:formulaRef>
                      </c:ext>
                    </c:extLst>
                    <c:numCache>
                      <c:formatCode>General</c:formatCode>
                      <c:ptCount val="19"/>
                    </c:numCache>
                  </c:numRef>
                </c:val>
                <c:extLst>
                  <c:ext xmlns:c16="http://schemas.microsoft.com/office/drawing/2014/chart" uri="{C3380CC4-5D6E-409C-BE32-E72D297353CC}">
                    <c16:uniqueId val="{0000001B-2BFE-429B-A886-2D73FC6FD8B5}"/>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Лист1!$C$1</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Лист1!$A$2:$A$20</c15:sqref>
                        </c15:formulaRef>
                      </c:ext>
                    </c:extLst>
                    <c:strCache>
                      <c:ptCount val="19"/>
                      <c:pt idx="0">
                        <c:v>аграрної політики і земельних відносин </c:v>
                      </c:pt>
                      <c:pt idx="1">
                        <c:v>транспорту і зв’язку</c:v>
                      </c:pt>
                      <c:pt idx="2">
                        <c:v>фінансової, податкової, митної політики</c:v>
                      </c:pt>
                      <c:pt idx="3">
                        <c:v>соціального захисту</c:v>
                      </c:pt>
                      <c:pt idx="4">
                        <c:v>праці і заробітної плати, охорони праці, промислової безпеки</c:v>
                      </c:pt>
                      <c:pt idx="5">
                        <c:v>охорони  здоров’я</c:v>
                      </c:pt>
                      <c:pt idx="6">
                        <c:v>комунального господарства</c:v>
                      </c:pt>
                      <c:pt idx="7">
                        <c:v>житлової політики</c:v>
                      </c:pt>
                      <c:pt idx="8">
                        <c:v>екології та природних ресурсів</c:v>
                      </c:pt>
                      <c:pt idx="9">
                        <c:v>забезпечення дотримання законності та охорони правопорядку, запобігання дискримінації </c:v>
                      </c:pt>
                      <c:pt idx="10">
                        <c:v>сімейної та гендерної політики, захисту прав дітей</c:v>
                      </c:pt>
                      <c:pt idx="11">
                        <c:v>освіти, наукової, науково-технічної, інноваційної діяльності</c:v>
                      </c:pt>
                      <c:pt idx="12">
                        <c:v>діяльності об’єднань громадян, релігії,міжконфесійних відн.</c:v>
                      </c:pt>
                      <c:pt idx="13">
                        <c:v>діяльності центральних органів виконавчої влади</c:v>
                      </c:pt>
                      <c:pt idx="14">
                        <c:v>діяльності місцевих органів виконавчої влади</c:v>
                      </c:pt>
                      <c:pt idx="15">
                        <c:v>діяльності органів місцевого  самоврядування</c:v>
                      </c:pt>
                      <c:pt idx="16">
                        <c:v>обороноздадтності, суверенітету, міждержавних відносен</c:v>
                      </c:pt>
                      <c:pt idx="17">
                        <c:v>інші</c:v>
                      </c:pt>
                      <c:pt idx="18">
                        <c:v>Всього</c:v>
                      </c:pt>
                    </c:strCache>
                  </c:strRef>
                </c:cat>
                <c:val>
                  <c:numRef>
                    <c:extLst xmlns:c15="http://schemas.microsoft.com/office/drawing/2012/chart">
                      <c:ext xmlns:c15="http://schemas.microsoft.com/office/drawing/2012/chart" uri="{02D57815-91ED-43cb-92C2-25804820EDAC}">
                        <c15:formulaRef>
                          <c15:sqref>Лист1!$C$2:$C$20</c15:sqref>
                        </c15:formulaRef>
                      </c:ext>
                    </c:extLst>
                    <c:numCache>
                      <c:formatCode>General</c:formatCode>
                      <c:ptCount val="19"/>
                    </c:numCache>
                  </c:numRef>
                </c:val>
                <c:extLst xmlns:c15="http://schemas.microsoft.com/office/drawing/2012/chart">
                  <c:ext xmlns:c16="http://schemas.microsoft.com/office/drawing/2014/chart" uri="{C3380CC4-5D6E-409C-BE32-E72D297353CC}">
                    <c16:uniqueId val="{0000001C-2BFE-429B-A886-2D73FC6FD8B5}"/>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Лист1!$D$1</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Лист1!$A$2:$A$20</c15:sqref>
                        </c15:formulaRef>
                      </c:ext>
                    </c:extLst>
                    <c:strCache>
                      <c:ptCount val="19"/>
                      <c:pt idx="0">
                        <c:v>аграрної політики і земельних відносин </c:v>
                      </c:pt>
                      <c:pt idx="1">
                        <c:v>транспорту і зв’язку</c:v>
                      </c:pt>
                      <c:pt idx="2">
                        <c:v>фінансової, податкової, митної політики</c:v>
                      </c:pt>
                      <c:pt idx="3">
                        <c:v>соціального захисту</c:v>
                      </c:pt>
                      <c:pt idx="4">
                        <c:v>праці і заробітної плати, охорони праці, промислової безпеки</c:v>
                      </c:pt>
                      <c:pt idx="5">
                        <c:v>охорони  здоров’я</c:v>
                      </c:pt>
                      <c:pt idx="6">
                        <c:v>комунального господарства</c:v>
                      </c:pt>
                      <c:pt idx="7">
                        <c:v>житлової політики</c:v>
                      </c:pt>
                      <c:pt idx="8">
                        <c:v>екології та природних ресурсів</c:v>
                      </c:pt>
                      <c:pt idx="9">
                        <c:v>забезпечення дотримання законності та охорони правопорядку, запобігання дискримінації </c:v>
                      </c:pt>
                      <c:pt idx="10">
                        <c:v>сімейної та гендерної політики, захисту прав дітей</c:v>
                      </c:pt>
                      <c:pt idx="11">
                        <c:v>освіти, наукової, науково-технічної, інноваційної діяльності</c:v>
                      </c:pt>
                      <c:pt idx="12">
                        <c:v>діяльності об’єднань громадян, релігії,міжконфесійних відн.</c:v>
                      </c:pt>
                      <c:pt idx="13">
                        <c:v>діяльності центральних органів виконавчої влади</c:v>
                      </c:pt>
                      <c:pt idx="14">
                        <c:v>діяльності місцевих органів виконавчої влади</c:v>
                      </c:pt>
                      <c:pt idx="15">
                        <c:v>діяльності органів місцевого  самоврядування</c:v>
                      </c:pt>
                      <c:pt idx="16">
                        <c:v>обороноздадтності, суверенітету, міждержавних відносен</c:v>
                      </c:pt>
                      <c:pt idx="17">
                        <c:v>інші</c:v>
                      </c:pt>
                      <c:pt idx="18">
                        <c:v>Всього</c:v>
                      </c:pt>
                    </c:strCache>
                  </c:strRef>
                </c:cat>
                <c:val>
                  <c:numRef>
                    <c:extLst xmlns:c15="http://schemas.microsoft.com/office/drawing/2012/chart">
                      <c:ext xmlns:c15="http://schemas.microsoft.com/office/drawing/2012/chart" uri="{02D57815-91ED-43cb-92C2-25804820EDAC}">
                        <c15:formulaRef>
                          <c15:sqref>Лист1!$D$2:$D$20</c15:sqref>
                        </c15:formulaRef>
                      </c:ext>
                    </c:extLst>
                    <c:numCache>
                      <c:formatCode>General</c:formatCode>
                      <c:ptCount val="19"/>
                    </c:numCache>
                  </c:numRef>
                </c:val>
                <c:extLst xmlns:c15="http://schemas.microsoft.com/office/drawing/2012/chart">
                  <c:ext xmlns:c16="http://schemas.microsoft.com/office/drawing/2014/chart" uri="{C3380CC4-5D6E-409C-BE32-E72D297353CC}">
                    <c16:uniqueId val="{0000001D-2BFE-429B-A886-2D73FC6FD8B5}"/>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Лист1!$E$1</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Лист1!$A$2:$A$20</c15:sqref>
                        </c15:formulaRef>
                      </c:ext>
                    </c:extLst>
                    <c:strCache>
                      <c:ptCount val="19"/>
                      <c:pt idx="0">
                        <c:v>аграрної політики і земельних відносин </c:v>
                      </c:pt>
                      <c:pt idx="1">
                        <c:v>транспорту і зв’язку</c:v>
                      </c:pt>
                      <c:pt idx="2">
                        <c:v>фінансової, податкової, митної політики</c:v>
                      </c:pt>
                      <c:pt idx="3">
                        <c:v>соціального захисту</c:v>
                      </c:pt>
                      <c:pt idx="4">
                        <c:v>праці і заробітної плати, охорони праці, промислової безпеки</c:v>
                      </c:pt>
                      <c:pt idx="5">
                        <c:v>охорони  здоров’я</c:v>
                      </c:pt>
                      <c:pt idx="6">
                        <c:v>комунального господарства</c:v>
                      </c:pt>
                      <c:pt idx="7">
                        <c:v>житлової політики</c:v>
                      </c:pt>
                      <c:pt idx="8">
                        <c:v>екології та природних ресурсів</c:v>
                      </c:pt>
                      <c:pt idx="9">
                        <c:v>забезпечення дотримання законності та охорони правопорядку, запобігання дискримінації </c:v>
                      </c:pt>
                      <c:pt idx="10">
                        <c:v>сімейної та гендерної політики, захисту прав дітей</c:v>
                      </c:pt>
                      <c:pt idx="11">
                        <c:v>освіти, наукової, науково-технічної, інноваційної діяльності</c:v>
                      </c:pt>
                      <c:pt idx="12">
                        <c:v>діяльності об’єднань громадян, релігії,міжконфесійних відн.</c:v>
                      </c:pt>
                      <c:pt idx="13">
                        <c:v>діяльності центральних органів виконавчої влади</c:v>
                      </c:pt>
                      <c:pt idx="14">
                        <c:v>діяльності місцевих органів виконавчої влади</c:v>
                      </c:pt>
                      <c:pt idx="15">
                        <c:v>діяльності органів місцевого  самоврядування</c:v>
                      </c:pt>
                      <c:pt idx="16">
                        <c:v>обороноздадтності, суверенітету, міждержавних відносен</c:v>
                      </c:pt>
                      <c:pt idx="17">
                        <c:v>інші</c:v>
                      </c:pt>
                      <c:pt idx="18">
                        <c:v>Всього</c:v>
                      </c:pt>
                    </c:strCache>
                  </c:strRef>
                </c:cat>
                <c:val>
                  <c:numRef>
                    <c:extLst xmlns:c15="http://schemas.microsoft.com/office/drawing/2012/chart">
                      <c:ext xmlns:c15="http://schemas.microsoft.com/office/drawing/2012/chart" uri="{02D57815-91ED-43cb-92C2-25804820EDAC}">
                        <c15:formulaRef>
                          <c15:sqref>Лист1!$E$2:$E$20</c15:sqref>
                        </c15:formulaRef>
                      </c:ext>
                    </c:extLst>
                    <c:numCache>
                      <c:formatCode>General</c:formatCode>
                      <c:ptCount val="19"/>
                    </c:numCache>
                  </c:numRef>
                </c:val>
                <c:extLst xmlns:c15="http://schemas.microsoft.com/office/drawing/2012/chart">
                  <c:ext xmlns:c16="http://schemas.microsoft.com/office/drawing/2014/chart" uri="{C3380CC4-5D6E-409C-BE32-E72D297353CC}">
                    <c16:uniqueId val="{0000001E-2BFE-429B-A886-2D73FC6FD8B5}"/>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Лист1!$F$1</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Лист1!$A$2:$A$20</c15:sqref>
                        </c15:formulaRef>
                      </c:ext>
                    </c:extLst>
                    <c:strCache>
                      <c:ptCount val="19"/>
                      <c:pt idx="0">
                        <c:v>аграрної політики і земельних відносин </c:v>
                      </c:pt>
                      <c:pt idx="1">
                        <c:v>транспорту і зв’язку</c:v>
                      </c:pt>
                      <c:pt idx="2">
                        <c:v>фінансової, податкової, митної політики</c:v>
                      </c:pt>
                      <c:pt idx="3">
                        <c:v>соціального захисту</c:v>
                      </c:pt>
                      <c:pt idx="4">
                        <c:v>праці і заробітної плати, охорони праці, промислової безпеки</c:v>
                      </c:pt>
                      <c:pt idx="5">
                        <c:v>охорони  здоров’я</c:v>
                      </c:pt>
                      <c:pt idx="6">
                        <c:v>комунального господарства</c:v>
                      </c:pt>
                      <c:pt idx="7">
                        <c:v>житлової політики</c:v>
                      </c:pt>
                      <c:pt idx="8">
                        <c:v>екології та природних ресурсів</c:v>
                      </c:pt>
                      <c:pt idx="9">
                        <c:v>забезпечення дотримання законності та охорони правопорядку, запобігання дискримінації </c:v>
                      </c:pt>
                      <c:pt idx="10">
                        <c:v>сімейної та гендерної політики, захисту прав дітей</c:v>
                      </c:pt>
                      <c:pt idx="11">
                        <c:v>освіти, наукової, науково-технічної, інноваційної діяльності</c:v>
                      </c:pt>
                      <c:pt idx="12">
                        <c:v>діяльності об’єднань громадян, релігії,міжконфесійних відн.</c:v>
                      </c:pt>
                      <c:pt idx="13">
                        <c:v>діяльності центральних органів виконавчої влади</c:v>
                      </c:pt>
                      <c:pt idx="14">
                        <c:v>діяльності місцевих органів виконавчої влади</c:v>
                      </c:pt>
                      <c:pt idx="15">
                        <c:v>діяльності органів місцевого  самоврядування</c:v>
                      </c:pt>
                      <c:pt idx="16">
                        <c:v>обороноздадтності, суверенітету, міждержавних відносен</c:v>
                      </c:pt>
                      <c:pt idx="17">
                        <c:v>інші</c:v>
                      </c:pt>
                      <c:pt idx="18">
                        <c:v>Всього</c:v>
                      </c:pt>
                    </c:strCache>
                  </c:strRef>
                </c:cat>
                <c:val>
                  <c:numRef>
                    <c:extLst xmlns:c15="http://schemas.microsoft.com/office/drawing/2012/chart">
                      <c:ext xmlns:c15="http://schemas.microsoft.com/office/drawing/2012/chart" uri="{02D57815-91ED-43cb-92C2-25804820EDAC}">
                        <c15:formulaRef>
                          <c15:sqref>Лист1!$F$2:$F$20</c15:sqref>
                        </c15:formulaRef>
                      </c:ext>
                    </c:extLst>
                    <c:numCache>
                      <c:formatCode>General</c:formatCode>
                      <c:ptCount val="19"/>
                    </c:numCache>
                  </c:numRef>
                </c:val>
                <c:extLst xmlns:c15="http://schemas.microsoft.com/office/drawing/2012/chart">
                  <c:ext xmlns:c16="http://schemas.microsoft.com/office/drawing/2014/chart" uri="{C3380CC4-5D6E-409C-BE32-E72D297353CC}">
                    <c16:uniqueId val="{0000001F-2BFE-429B-A886-2D73FC6FD8B5}"/>
                  </c:ext>
                </c:extLst>
              </c15:ser>
            </c15:filteredBarSeries>
          </c:ext>
        </c:extLst>
      </c:barChart>
      <c:catAx>
        <c:axId val="-820692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20695024"/>
        <c:crosses val="autoZero"/>
        <c:auto val="1"/>
        <c:lblAlgn val="ctr"/>
        <c:lblOffset val="100"/>
        <c:noMultiLvlLbl val="0"/>
      </c:catAx>
      <c:valAx>
        <c:axId val="-820695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20692848"/>
        <c:crosses val="autoZero"/>
        <c:crossBetween val="between"/>
      </c:valAx>
      <c:spPr>
        <a:noFill/>
        <a:ln>
          <a:noFill/>
        </a:ln>
        <a:effectLst/>
      </c:spPr>
    </c:plotArea>
    <c:legend>
      <c:legendPos val="b"/>
      <c:layout>
        <c:manualLayout>
          <c:xMode val="edge"/>
          <c:yMode val="edge"/>
          <c:x val="0.28453176238055816"/>
          <c:y val="0.95615396206315328"/>
          <c:w val="0.18643769773277119"/>
          <c:h val="3.9117102712647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Соціальний стан авторів звернення</a:t>
            </a:r>
          </a:p>
        </c:rich>
      </c:tx>
      <c:layout>
        <c:manualLayout>
          <c:xMode val="edge"/>
          <c:yMode val="edge"/>
          <c:x val="0.16753555382376897"/>
          <c:y val="4.1237098524556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tx>
            <c:strRef>
              <c:f>Лист1!$B$1</c:f>
              <c:strCache>
                <c:ptCount val="1"/>
                <c:pt idx="0">
                  <c:v>Кол-во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Пенсіонер</c:v>
                </c:pt>
                <c:pt idx="1">
                  <c:v>Пенсіонер з числа військовослужбовців</c:v>
                </c:pt>
                <c:pt idx="2">
                  <c:v>Робітник</c:v>
                </c:pt>
                <c:pt idx="3">
                  <c:v>Селянин</c:v>
                </c:pt>
                <c:pt idx="4">
                  <c:v>Працівник бюджетної сфери</c:v>
                </c:pt>
                <c:pt idx="5">
                  <c:v>Державний службовець</c:v>
                </c:pt>
                <c:pt idx="6">
                  <c:v>Військовослужбовець</c:v>
                </c:pt>
                <c:pt idx="7">
                  <c:v>Підприємець</c:v>
                </c:pt>
                <c:pt idx="8">
                  <c:v>Безробітний</c:v>
                </c:pt>
                <c:pt idx="9">
                  <c:v>Учень, студент</c:v>
                </c:pt>
                <c:pt idx="10">
                  <c:v>Служитель релігійної організації</c:v>
                </c:pt>
                <c:pt idx="11">
                  <c:v>Особа,що позбавлена волі</c:v>
                </c:pt>
                <c:pt idx="12">
                  <c:v>Журналіст</c:v>
                </c:pt>
                <c:pt idx="13">
                  <c:v>Інші</c:v>
                </c:pt>
                <c:pt idx="14">
                  <c:v>Всього</c:v>
                </c:pt>
              </c:strCache>
            </c:strRef>
          </c:cat>
          <c:val>
            <c:numRef>
              <c:f>Лист1!$B$2:$B$16</c:f>
              <c:numCache>
                <c:formatCode>General</c:formatCode>
                <c:ptCount val="15"/>
                <c:pt idx="0">
                  <c:v>902</c:v>
                </c:pt>
                <c:pt idx="1">
                  <c:v>0</c:v>
                </c:pt>
                <c:pt idx="2">
                  <c:v>123</c:v>
                </c:pt>
                <c:pt idx="3">
                  <c:v>888</c:v>
                </c:pt>
                <c:pt idx="4">
                  <c:v>5</c:v>
                </c:pt>
                <c:pt idx="5">
                  <c:v>3</c:v>
                </c:pt>
                <c:pt idx="6">
                  <c:v>250</c:v>
                </c:pt>
                <c:pt idx="7">
                  <c:v>67</c:v>
                </c:pt>
                <c:pt idx="8">
                  <c:v>528</c:v>
                </c:pt>
                <c:pt idx="9">
                  <c:v>16</c:v>
                </c:pt>
                <c:pt idx="10">
                  <c:v>3</c:v>
                </c:pt>
                <c:pt idx="11">
                  <c:v>2</c:v>
                </c:pt>
                <c:pt idx="12">
                  <c:v>0</c:v>
                </c:pt>
                <c:pt idx="13">
                  <c:v>3395</c:v>
                </c:pt>
                <c:pt idx="14">
                  <c:v>6182</c:v>
                </c:pt>
              </c:numCache>
            </c:numRef>
          </c:val>
          <c:extLst>
            <c:ext xmlns:c16="http://schemas.microsoft.com/office/drawing/2014/chart" uri="{C3380CC4-5D6E-409C-BE32-E72D297353CC}">
              <c16:uniqueId val="{00000000-AE85-4AD2-BD62-7EE65DF72782}"/>
            </c:ext>
          </c:extLst>
        </c:ser>
        <c:dLbls>
          <c:dLblPos val="outEnd"/>
          <c:showLegendKey val="0"/>
          <c:showVal val="1"/>
          <c:showCatName val="0"/>
          <c:showSerName val="0"/>
          <c:showPercent val="0"/>
          <c:showBubbleSize val="0"/>
        </c:dLbls>
        <c:gapWidth val="182"/>
        <c:axId val="253146512"/>
        <c:axId val="253456944"/>
      </c:barChart>
      <c:catAx>
        <c:axId val="2531465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53456944"/>
        <c:crosses val="autoZero"/>
        <c:auto val="1"/>
        <c:lblAlgn val="ctr"/>
        <c:lblOffset val="100"/>
        <c:noMultiLvlLbl val="0"/>
      </c:catAx>
      <c:valAx>
        <c:axId val="253456944"/>
        <c:scaling>
          <c:orientation val="minMax"/>
        </c:scaling>
        <c:delete val="1"/>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53146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a:t>Категорії авторів звернення</a:t>
            </a:r>
          </a:p>
        </c:rich>
      </c:tx>
      <c:layout>
        <c:manualLayout>
          <c:xMode val="edge"/>
          <c:yMode val="edge"/>
          <c:x val="0.19956921882146297"/>
          <c:y val="2.487372305238046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Лист1!$A$2:$A$24</c:f>
              <c:strCache>
                <c:ptCount val="23"/>
                <c:pt idx="0">
                  <c:v>Учасник війни</c:v>
                </c:pt>
                <c:pt idx="1">
                  <c:v>Дитина війни</c:v>
                </c:pt>
                <c:pt idx="2">
                  <c:v>Особа з інвалідністю в наслідок Другої світової війни</c:v>
                </c:pt>
                <c:pt idx="3">
                  <c:v>Особа з інвалідністю в наслідок війни</c:v>
                </c:pt>
                <c:pt idx="4">
                  <c:v>Учасник бойових дій</c:v>
                </c:pt>
                <c:pt idx="5">
                  <c:v>Ветеран праці</c:v>
                </c:pt>
                <c:pt idx="6">
                  <c:v>Ветеран військової служби</c:v>
                </c:pt>
                <c:pt idx="7">
                  <c:v>Особа з інвалідністю I групи</c:v>
                </c:pt>
                <c:pt idx="8">
                  <c:v>Особа з інвалідністю ІI групи</c:v>
                </c:pt>
                <c:pt idx="9">
                  <c:v>Особа з інвалідністю ІІI групи</c:v>
                </c:pt>
                <c:pt idx="10">
                  <c:v>Дитина з інвалідністю</c:v>
                </c:pt>
                <c:pt idx="11">
                  <c:v>Одинока мати</c:v>
                </c:pt>
                <c:pt idx="12">
                  <c:v>Мати-героїня</c:v>
                </c:pt>
                <c:pt idx="13">
                  <c:v>Багатодітна сім'я</c:v>
                </c:pt>
                <c:pt idx="14">
                  <c:v>Особа, що потерпіла від Чорнобильської катастрофи</c:v>
                </c:pt>
                <c:pt idx="15">
                  <c:v>Учасник ліквідації наслідків аварії на Чорнобильській АЕС</c:v>
                </c:pt>
                <c:pt idx="16">
                  <c:v>Внутрішньо переміщена особа</c:v>
                </c:pt>
                <c:pt idx="17">
                  <c:v>Герой України</c:v>
                </c:pt>
                <c:pt idx="18">
                  <c:v>Герой Радянського Союзу</c:v>
                </c:pt>
                <c:pt idx="19">
                  <c:v>Герой Соціалістичної Праці</c:v>
                </c:pt>
                <c:pt idx="20">
                  <c:v>Дитина</c:v>
                </c:pt>
                <c:pt idx="21">
                  <c:v>Інші категорії</c:v>
                </c:pt>
                <c:pt idx="22">
                  <c:v>Всього</c:v>
                </c:pt>
              </c:strCache>
            </c:strRef>
          </c:cat>
          <c:val>
            <c:numRef>
              <c:f>Лист1!$B$2:$B$24</c:f>
              <c:numCache>
                <c:formatCode>General</c:formatCode>
                <c:ptCount val="23"/>
                <c:pt idx="0">
                  <c:v>0</c:v>
                </c:pt>
                <c:pt idx="1">
                  <c:v>72</c:v>
                </c:pt>
                <c:pt idx="2">
                  <c:v>0</c:v>
                </c:pt>
                <c:pt idx="3">
                  <c:v>2</c:v>
                </c:pt>
                <c:pt idx="4">
                  <c:v>261</c:v>
                </c:pt>
                <c:pt idx="5">
                  <c:v>87</c:v>
                </c:pt>
                <c:pt idx="6">
                  <c:v>4</c:v>
                </c:pt>
                <c:pt idx="7">
                  <c:v>24</c:v>
                </c:pt>
                <c:pt idx="8">
                  <c:v>89</c:v>
                </c:pt>
                <c:pt idx="9">
                  <c:v>161</c:v>
                </c:pt>
                <c:pt idx="10">
                  <c:v>15</c:v>
                </c:pt>
                <c:pt idx="11">
                  <c:v>119</c:v>
                </c:pt>
                <c:pt idx="12">
                  <c:v>8</c:v>
                </c:pt>
                <c:pt idx="13">
                  <c:v>324</c:v>
                </c:pt>
                <c:pt idx="14">
                  <c:v>6</c:v>
                </c:pt>
                <c:pt idx="15">
                  <c:v>0</c:v>
                </c:pt>
                <c:pt idx="16">
                  <c:v>64</c:v>
                </c:pt>
                <c:pt idx="17">
                  <c:v>0</c:v>
                </c:pt>
                <c:pt idx="18">
                  <c:v>0</c:v>
                </c:pt>
                <c:pt idx="19">
                  <c:v>0</c:v>
                </c:pt>
                <c:pt idx="20">
                  <c:v>3</c:v>
                </c:pt>
                <c:pt idx="21">
                  <c:v>4943</c:v>
                </c:pt>
                <c:pt idx="22">
                  <c:v>6182</c:v>
                </c:pt>
              </c:numCache>
            </c:numRef>
          </c:val>
          <c:extLst>
            <c:ext xmlns:c16="http://schemas.microsoft.com/office/drawing/2014/chart" uri="{C3380CC4-5D6E-409C-BE32-E72D297353CC}">
              <c16:uniqueId val="{00000000-1DB7-49BA-BEE0-43051F4C8FCA}"/>
            </c:ext>
          </c:extLst>
        </c:ser>
        <c:dLbls>
          <c:dLblPos val="outEnd"/>
          <c:showLegendKey val="0"/>
          <c:showVal val="1"/>
          <c:showCatName val="0"/>
          <c:showSerName val="0"/>
          <c:showPercent val="0"/>
          <c:showBubbleSize val="0"/>
        </c:dLbls>
        <c:gapWidth val="182"/>
        <c:axId val="276491792"/>
        <c:axId val="276489440"/>
      </c:barChart>
      <c:catAx>
        <c:axId val="276491792"/>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76489440"/>
        <c:crosses val="autoZero"/>
        <c:auto val="1"/>
        <c:lblAlgn val="ctr"/>
        <c:lblOffset val="100"/>
        <c:noMultiLvlLbl val="0"/>
      </c:catAx>
      <c:valAx>
        <c:axId val="276489440"/>
        <c:scaling>
          <c:orientation val="minMax"/>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2764917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4991</Words>
  <Characters>2845</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380977459922</cp:lastModifiedBy>
  <cp:revision>25</cp:revision>
  <cp:lastPrinted>2025-10-03T12:31:00Z</cp:lastPrinted>
  <dcterms:created xsi:type="dcterms:W3CDTF">2025-10-06T05:39:00Z</dcterms:created>
  <dcterms:modified xsi:type="dcterms:W3CDTF">2026-01-05T12:13:00Z</dcterms:modified>
</cp:coreProperties>
</file>