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99" w:rsidRPr="0004010A" w:rsidRDefault="008E4299" w:rsidP="008E429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(дата офіційного опублікування в Єдиному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реєстрі з оцінки впливу на довкілля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(автоматично генерується програмними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засобами ведення Єдиного реєстру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оцінки впливу на довкілля,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зазначається суб’єктом господарювання)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left="4536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(реєстраційний номер справи про оцінку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впливу на довкілля планованої діяльності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(автоматично генерується програмними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засобами ведення Єдиного реєстру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оцінки впливу на довкілля,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паперової версії зазначається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spacing w:after="120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суб’єктом господарювання)</w:t>
      </w:r>
    </w:p>
    <w:p w:rsidR="008E4299" w:rsidRPr="0004010A" w:rsidRDefault="008E4299" w:rsidP="008F7EC0">
      <w:pPr>
        <w:keepNext/>
        <w:keepLines/>
        <w:spacing w:before="360" w:after="24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ПОВІДОМЛЕННЯ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про плановану діяльність, яка підлягає оцінці впливу на довкілля</w:t>
      </w:r>
    </w:p>
    <w:p w:rsidR="008F7EC0" w:rsidRDefault="00BD372C" w:rsidP="008F7EC0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Державне підприємство «Адміністрація морських портів України» в особі філії «Дельта-лоцман» ДП «АМПУ»,</w:t>
      </w:r>
      <w:r w:rsidR="002868C8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2868C8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од ЄДРПОУ 38728507</w:t>
      </w:r>
    </w:p>
    <w:p w:rsidR="008E4299" w:rsidRPr="0004010A" w:rsidRDefault="008E4299" w:rsidP="008F7EC0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інформує про намір провадити плановану діяльність та оцінку її впливу на довкілля.</w:t>
      </w:r>
    </w:p>
    <w:p w:rsidR="008E4299" w:rsidRPr="00D633A5" w:rsidRDefault="008E4299" w:rsidP="008C1CAB">
      <w:pPr>
        <w:widowControl w:val="0"/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299" w:rsidRPr="0004010A" w:rsidRDefault="008E4299" w:rsidP="008E4299">
      <w:pPr>
        <w:widowControl w:val="0"/>
        <w:autoSpaceDE w:val="0"/>
        <w:autoSpaceDN w:val="0"/>
        <w:adjustRightInd w:val="0"/>
        <w:spacing w:before="12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Інформація про суб’єкта господарювання </w:t>
      </w:r>
    </w:p>
    <w:p w:rsidR="00D633A5" w:rsidRDefault="00D633A5" w:rsidP="008F7EC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4299" w:rsidRDefault="002868C8" w:rsidP="008F7EC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Поштова адреса: </w:t>
      </w:r>
      <w:r w:rsidR="008C1C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830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8C1C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раїна, </w:t>
      </w:r>
      <w:r w:rsidRPr="00040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54001, </w:t>
      </w:r>
      <w:r w:rsidR="00A830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м. </w:t>
      </w:r>
      <w:r w:rsidRPr="0004010A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Миколаїв, вул. Лягіна, 27</w:t>
      </w:r>
      <w:r w:rsidRPr="000401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8E4299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контактний номер телефону</w:t>
      </w:r>
      <w:r w:rsidR="000C74C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+38 0512 500-901.</w:t>
      </w:r>
    </w:p>
    <w:p w:rsidR="00A8307A" w:rsidRPr="00D633A5" w:rsidRDefault="00A8307A" w:rsidP="008F7EC0">
      <w:pPr>
        <w:widowControl w:val="0"/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8E4299" w:rsidRPr="0004010A" w:rsidRDefault="008E4299" w:rsidP="00D633A5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Планована діяльність, її характеристика, технічні альтернативи</w:t>
      </w:r>
    </w:p>
    <w:p w:rsidR="00D633A5" w:rsidRDefault="00D633A5" w:rsidP="00D633A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299" w:rsidRPr="0004010A" w:rsidRDefault="008E4299" w:rsidP="00D633A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Планована діяльність, її характеристика.</w:t>
      </w:r>
    </w:p>
    <w:p w:rsidR="008E4299" w:rsidRPr="0004010A" w:rsidRDefault="00BD372C" w:rsidP="008E4299">
      <w:pPr>
        <w:widowControl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Реконструкція об’єктів будівництва «Створення глибоководного суднового ходу р. Дунай - Чорне море на українській ділянці дельти» (далі – ГСХ р. Дунай - Чорне море)</w:t>
      </w:r>
      <w:r w:rsidR="00D615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157E" w:rsidRPr="0004010A" w:rsidRDefault="00D6157E" w:rsidP="00D6157E">
      <w:pPr>
        <w:widowControl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Судновий хід р. Дунай - Чорне море складається з таких </w:t>
      </w:r>
      <w:r w:rsidR="0000265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об’єктів та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ділянок:</w:t>
      </w:r>
    </w:p>
    <w:p w:rsidR="00D6157E" w:rsidRPr="0004010A" w:rsidRDefault="00D6157E" w:rsidP="00D6157E">
      <w:pPr>
        <w:widowControl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морська частина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 w:rsidR="006B0C0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орський підхідний канал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огороджувальна дамба морського підхідного каналу; морськ</w:t>
      </w:r>
      <w:r w:rsidR="004A33E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1A7DC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підводний </w:t>
      </w:r>
      <w:r w:rsidR="004A33E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відвал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ґрунт</w:t>
      </w:r>
      <w:r w:rsidR="001A7DC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днопоглиблення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6157E" w:rsidRDefault="00D6157E" w:rsidP="00D633A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річкова частина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ділянка море - Вилкове (1,5 - 20,5 км)</w:t>
      </w:r>
      <w:r w:rsidR="00FA172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72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проходить по </w:t>
      </w:r>
      <w:r w:rsidR="001A7DC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рукавам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Бистр</w:t>
      </w:r>
      <w:r w:rsidR="001A7DC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72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таростамбульск</w:t>
      </w:r>
      <w:r w:rsidR="001A7DC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A172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ділянка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Вилкове - Ізмаїльський Чатал (20,5 -116 км) - проходить по Кілійському </w:t>
      </w:r>
      <w:r w:rsidR="001A7DC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рукаву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A172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ділянка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Ізмаїльський Чатал - Рені (116,0-170,36 км) - проходить по </w:t>
      </w:r>
      <w:r w:rsidR="00FA172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Дунай </w:t>
      </w:r>
      <w:r w:rsidR="00877E0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вздовж</w:t>
      </w:r>
      <w:r w:rsidR="00FA172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r w:rsidR="00877E0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авного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кордону України</w:t>
      </w:r>
      <w:r w:rsidR="00D11FEB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D11FEB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 об’єктів річкової частини належать також річкові та берегові відвали ґрунтів днопоглиблення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33A5" w:rsidRPr="0004010A" w:rsidRDefault="00D633A5" w:rsidP="00D633A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4782" w:rsidRPr="0004010A" w:rsidRDefault="008E4299" w:rsidP="00D633A5">
      <w:pPr>
        <w:spacing w:after="120"/>
        <w:ind w:right="-51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Технічна альтернатива 1.</w:t>
      </w:r>
    </w:p>
    <w:p w:rsidR="00A906AB" w:rsidRPr="0004010A" w:rsidRDefault="00A906AB" w:rsidP="00A906AB">
      <w:pPr>
        <w:widowControl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Реконструкція об’єктів будівництва «Створення глибоководного суднового ходу р. Дунай - Чорне море передбачається шляхом проведення гідротехнічних та днопоглиблювальних робіт з виділенням трьох пускових комплексів (ПК):</w:t>
      </w:r>
      <w:r w:rsidR="00C82C7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ПК І - забезпечення фактично досягнутих параметрів ГСХ р. Дунай - Чорне море; ПК ІІ - забезпечення проходження розрахункового судна з осадкою 5,0</w:t>
      </w:r>
      <w:r w:rsidR="00C82C7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 ПК ІІІ - забезпечення проходження розрахункового судна з осадкою 7,2</w:t>
      </w:r>
      <w:r w:rsidR="00C82C7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</w:p>
    <w:p w:rsidR="00A906AB" w:rsidRPr="0004010A" w:rsidRDefault="00A906AB" w:rsidP="00A906AB">
      <w:pPr>
        <w:ind w:right="-52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реалізації проектних рішень:</w:t>
      </w:r>
    </w:p>
    <w:p w:rsidR="00A906AB" w:rsidRPr="0004010A" w:rsidRDefault="00A906AB" w:rsidP="00A906AB">
      <w:pPr>
        <w:ind w:right="-52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ПК І планується реконструкція існуючої північної огороджувальної дамби на ділянці</w:t>
      </w:r>
      <w:r w:rsidR="00C82C7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прилегл</w:t>
      </w:r>
      <w:r w:rsidR="00C82C7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гирла рукава Бистрий</w:t>
      </w:r>
      <w:r w:rsidR="00C82C7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днопоглиблення не виконується.</w:t>
      </w:r>
    </w:p>
    <w:p w:rsidR="00A906AB" w:rsidRPr="0004010A" w:rsidRDefault="00A906AB" w:rsidP="00A906AB">
      <w:pPr>
        <w:ind w:right="-52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ПК ІІ планується будівництво південної огороджувальної дамби на ділянці</w:t>
      </w:r>
      <w:r w:rsidR="00C82C7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прилегл</w:t>
      </w:r>
      <w:r w:rsidR="00C82C7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гирла рукава Бистрий</w:t>
      </w:r>
      <w:r w:rsidR="00C82C7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днопоглиблення  виконується на МПК та річковій ділянці ГСХ (перекати).</w:t>
      </w:r>
    </w:p>
    <w:p w:rsidR="00A906AB" w:rsidRPr="0004010A" w:rsidRDefault="00A906AB" w:rsidP="00D633A5">
      <w:pPr>
        <w:spacing w:after="120"/>
        <w:ind w:right="-51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ПК ІІІ планується добудова морських ділянок південної та північної огороджувальних дамб</w:t>
      </w:r>
      <w:r w:rsidR="00C82C7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днопоглиблення виконується на МПК та річковій ділянці ГСХ (перекати).</w:t>
      </w:r>
    </w:p>
    <w:p w:rsidR="00A906AB" w:rsidRPr="0004010A" w:rsidRDefault="00A906AB" w:rsidP="00D633A5">
      <w:pPr>
        <w:spacing w:after="120"/>
        <w:ind w:right="-51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 буде створена система двох паралельних струменестискувальних дамб.</w:t>
      </w:r>
    </w:p>
    <w:p w:rsidR="00A906AB" w:rsidRPr="0004010A" w:rsidRDefault="00A906AB" w:rsidP="008F7EC0">
      <w:pPr>
        <w:ind w:right="-52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Складування ґрунтів днопоглиблення річкової частини ГСХ здійснюється на діючі берегові </w:t>
      </w:r>
      <w:r w:rsidR="00824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гідровідвали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складування ґрунтів днопоглиблення морської частини здійснюється на існуюч</w:t>
      </w:r>
      <w:r w:rsidR="006D1AD7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морськ</w:t>
      </w:r>
      <w:r w:rsidR="006D1AD7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1A7DC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підводний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1AD7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відвал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ґрунт</w:t>
      </w:r>
      <w:r w:rsidR="001A7DC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днопоглиблення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06AB" w:rsidRPr="0004010A" w:rsidRDefault="00A906AB" w:rsidP="008E4299">
      <w:pPr>
        <w:ind w:right="-52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7BD7" w:rsidRPr="0004010A" w:rsidRDefault="00A97BD7" w:rsidP="00D633A5">
      <w:pPr>
        <w:spacing w:after="120"/>
        <w:ind w:right="-51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Технічна альтернатива 2.</w:t>
      </w:r>
    </w:p>
    <w:p w:rsidR="00A906AB" w:rsidRPr="0004010A" w:rsidRDefault="00A906AB" w:rsidP="008F7EC0">
      <w:pPr>
        <w:widowControl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технічні рішення згідн</w:t>
      </w:r>
      <w:r w:rsidR="006D1AD7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з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</w:t>
      </w:r>
      <w:r w:rsidR="006D1AD7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 w:rsidR="006D1AD7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«Створення глибоководного суднового ходу р. Дунай - Чорне море на українській ділянці дельти. Повний розвиток». Проектно-вишукувальний і конструкторсько-технологічний інститут річкового транспорту «РІЧТРАНСПРОЕКТ», Київ, 2006 р.</w:t>
      </w:r>
    </w:p>
    <w:p w:rsidR="00D04782" w:rsidRPr="0004010A" w:rsidRDefault="00A906AB" w:rsidP="006F3714">
      <w:pPr>
        <w:pStyle w:val="a4"/>
        <w:jc w:val="both"/>
        <w:rPr>
          <w:lang w:val="uk-UA"/>
        </w:rPr>
      </w:pPr>
      <w:r w:rsidRPr="0004010A">
        <w:rPr>
          <w:lang w:val="uk-UA"/>
        </w:rPr>
        <w:t xml:space="preserve">Реалізацію рішень робочого проекту було передбачено у 2 етапи. </w:t>
      </w:r>
    </w:p>
    <w:p w:rsidR="00BF00CF" w:rsidRPr="0004010A" w:rsidRDefault="00A906AB" w:rsidP="006F3714">
      <w:pPr>
        <w:pStyle w:val="a4"/>
        <w:jc w:val="both"/>
        <w:rPr>
          <w:lang w:val="uk-UA"/>
        </w:rPr>
      </w:pPr>
      <w:r w:rsidRPr="0004010A">
        <w:rPr>
          <w:lang w:val="uk-UA"/>
        </w:rPr>
        <w:t>На першому етапі (фаза 1) відновлення ГСХ включало проведення днопоглиблювальних робіт зі створення морського підхідного каналу (МПК) через бар рукава Бистрий</w:t>
      </w:r>
      <w:r w:rsidR="00BF00CF" w:rsidRPr="0004010A">
        <w:rPr>
          <w:lang w:val="uk-UA"/>
        </w:rPr>
        <w:t xml:space="preserve"> довжиною 3.432 км.</w:t>
      </w:r>
      <w:r w:rsidRPr="0004010A">
        <w:rPr>
          <w:lang w:val="uk-UA"/>
        </w:rPr>
        <w:t>, будівництво північніше від МПК частини односторонньої  огороджувальної дамби</w:t>
      </w:r>
      <w:r w:rsidR="00BF00CF" w:rsidRPr="0004010A">
        <w:rPr>
          <w:lang w:val="uk-UA"/>
        </w:rPr>
        <w:t xml:space="preserve"> (на першому етапі – 1040м., на другому - 2730м.)</w:t>
      </w:r>
      <w:r w:rsidRPr="0004010A">
        <w:rPr>
          <w:lang w:val="uk-UA"/>
        </w:rPr>
        <w:t xml:space="preserve">, поглиблення перекатів у Кілійському рукаві між Ізмаїльським Чаталом і Вилковим. </w:t>
      </w:r>
      <w:r w:rsidR="00BF00CF" w:rsidRPr="0004010A">
        <w:rPr>
          <w:lang w:val="uk-UA"/>
        </w:rPr>
        <w:t xml:space="preserve">Більше 90% довжини траси ГСХ проходить руслом Кілійського рукава, ширина та переважаючі глибини якого відповідають вимогам до водного шляху вищого міжнародного класу. Днопоглиблювальні роботи на 1 и 2 етапах необхідні тільки у межах перекатів. </w:t>
      </w:r>
    </w:p>
    <w:p w:rsidR="00A906AB" w:rsidRPr="0004010A" w:rsidRDefault="00A906AB" w:rsidP="006F3714">
      <w:pPr>
        <w:pStyle w:val="a4"/>
        <w:jc w:val="both"/>
        <w:rPr>
          <w:lang w:val="uk-UA"/>
        </w:rPr>
      </w:pPr>
      <w:r w:rsidRPr="0004010A">
        <w:rPr>
          <w:lang w:val="uk-UA"/>
        </w:rPr>
        <w:t xml:space="preserve">Метою першого етапу було забезпечення проходження трасою ГСХ суден з осадкою 5,85 м. </w:t>
      </w:r>
    </w:p>
    <w:p w:rsidR="00A906AB" w:rsidRPr="0004010A" w:rsidRDefault="00A906AB" w:rsidP="00D633A5">
      <w:pPr>
        <w:pStyle w:val="a4"/>
        <w:spacing w:after="120"/>
        <w:jc w:val="both"/>
        <w:rPr>
          <w:lang w:val="uk-UA"/>
        </w:rPr>
      </w:pPr>
      <w:r w:rsidRPr="0004010A">
        <w:rPr>
          <w:lang w:val="uk-UA"/>
        </w:rPr>
        <w:lastRenderedPageBreak/>
        <w:t>На другому етапі (фаза 2) передбачалося продовження днопоглиблювальних робіт та гідротехнічних робіт на барі Бистрого і перекатах Кілійського і Старостамбульського рукав</w:t>
      </w:r>
      <w:r w:rsidR="006D1AD7" w:rsidRPr="0004010A">
        <w:rPr>
          <w:lang w:val="uk-UA"/>
        </w:rPr>
        <w:t>ів</w:t>
      </w:r>
      <w:r w:rsidRPr="0004010A">
        <w:rPr>
          <w:lang w:val="uk-UA"/>
        </w:rPr>
        <w:t xml:space="preserve"> до повного розвитку ГСХ, з метою доведення його параметрів до міжнародних стандартів і забезпечення проходження суден з осадкою 7,2 м. Для досягнення стабільної експлуатації ГСХ на цьому етапі було передбачено добудову огороджувальної дамби і спорудження струмененапрямної дамби та берегоукріплення у місці розвилки рукавів Бистр</w:t>
      </w:r>
      <w:r w:rsidR="006D1AD7" w:rsidRPr="0004010A">
        <w:rPr>
          <w:lang w:val="uk-UA"/>
        </w:rPr>
        <w:t>ий</w:t>
      </w:r>
      <w:r w:rsidRPr="0004010A">
        <w:rPr>
          <w:lang w:val="uk-UA"/>
        </w:rPr>
        <w:t xml:space="preserve"> і Старостамбульськ</w:t>
      </w:r>
      <w:r w:rsidR="006D1AD7" w:rsidRPr="0004010A">
        <w:rPr>
          <w:lang w:val="uk-UA"/>
        </w:rPr>
        <w:t>ий</w:t>
      </w:r>
      <w:r w:rsidRPr="0004010A">
        <w:rPr>
          <w:lang w:val="uk-UA"/>
        </w:rPr>
        <w:t>.</w:t>
      </w:r>
    </w:p>
    <w:p w:rsidR="00A906AB" w:rsidRPr="0004010A" w:rsidRDefault="00A906AB" w:rsidP="00D633A5">
      <w:pPr>
        <w:pStyle w:val="a4"/>
        <w:spacing w:after="120"/>
        <w:jc w:val="both"/>
        <w:rPr>
          <w:lang w:val="uk-UA"/>
        </w:rPr>
      </w:pPr>
      <w:r w:rsidRPr="0004010A">
        <w:rPr>
          <w:lang w:val="uk-UA"/>
        </w:rPr>
        <w:t xml:space="preserve">На етапі 1 днопоглиблювальні роботи у руслі рукава Бистрий не проводилися. На </w:t>
      </w:r>
      <w:r w:rsidR="00E75796" w:rsidRPr="0004010A">
        <w:rPr>
          <w:lang w:val="uk-UA"/>
        </w:rPr>
        <w:t xml:space="preserve">другому етапі (повного </w:t>
      </w:r>
      <w:r w:rsidRPr="0004010A">
        <w:rPr>
          <w:lang w:val="uk-UA"/>
        </w:rPr>
        <w:t>розвитку</w:t>
      </w:r>
      <w:r w:rsidR="00E75796" w:rsidRPr="0004010A">
        <w:rPr>
          <w:lang w:val="uk-UA"/>
        </w:rPr>
        <w:t>)</w:t>
      </w:r>
      <w:r w:rsidRPr="0004010A">
        <w:rPr>
          <w:lang w:val="uk-UA"/>
        </w:rPr>
        <w:t xml:space="preserve"> ГСХ обсяг виїмки ґрунту в рукаві Бистрий є незначним.</w:t>
      </w:r>
    </w:p>
    <w:p w:rsidR="00A906AB" w:rsidRPr="0004010A" w:rsidRDefault="00A906AB" w:rsidP="008F7EC0">
      <w:pPr>
        <w:pStyle w:val="a4"/>
        <w:jc w:val="both"/>
        <w:rPr>
          <w:lang w:val="uk-UA"/>
        </w:rPr>
      </w:pPr>
      <w:r w:rsidRPr="0004010A">
        <w:rPr>
          <w:lang w:val="uk-UA"/>
        </w:rPr>
        <w:t>Складування ґрунтів днопоглиблення передбачено у берегові відвали на лівому березі Кілійського рукава і на морський відвал ґрунту, під який відведено ділянку морського дна у вигляді кола площею 269,2 га на глибині 22</w:t>
      </w:r>
      <w:r w:rsidR="006D1AD7" w:rsidRPr="0004010A">
        <w:rPr>
          <w:lang w:val="uk-UA"/>
        </w:rPr>
        <w:t> </w:t>
      </w:r>
      <w:r w:rsidRPr="0004010A">
        <w:rPr>
          <w:lang w:val="uk-UA"/>
        </w:rPr>
        <w:t>м, розташовану на схід від гирла рукава Бистрий у 8 км від берегової лінії.</w:t>
      </w:r>
    </w:p>
    <w:p w:rsidR="00A906AB" w:rsidRPr="0004010A" w:rsidRDefault="00A906AB" w:rsidP="00A97BD7">
      <w:pPr>
        <w:ind w:right="-52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299" w:rsidRPr="0004010A" w:rsidRDefault="008E4299" w:rsidP="008E4299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Місце провадження планованої діяльності, територіальні альтернативи.</w:t>
      </w:r>
    </w:p>
    <w:p w:rsidR="00E637F9" w:rsidRPr="00D633A5" w:rsidRDefault="00E637F9" w:rsidP="008E4299">
      <w:pPr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7F9" w:rsidRPr="0004010A" w:rsidRDefault="00E637F9" w:rsidP="00D633A5">
      <w:pPr>
        <w:pStyle w:val="a4"/>
        <w:spacing w:after="120"/>
        <w:jc w:val="both"/>
        <w:rPr>
          <w:lang w:val="uk-UA"/>
        </w:rPr>
      </w:pPr>
      <w:r w:rsidRPr="0004010A">
        <w:rPr>
          <w:lang w:val="uk-UA"/>
        </w:rPr>
        <w:t>Місце провадження планованої діяльності: територіальна альтернатива 1.</w:t>
      </w:r>
    </w:p>
    <w:p w:rsidR="00955B57" w:rsidRPr="0004010A" w:rsidRDefault="00E637F9" w:rsidP="00D633A5">
      <w:pPr>
        <w:pStyle w:val="a4"/>
        <w:jc w:val="both"/>
        <w:rPr>
          <w:lang w:val="uk-UA"/>
        </w:rPr>
      </w:pPr>
      <w:r w:rsidRPr="0004010A">
        <w:rPr>
          <w:lang w:val="uk-UA"/>
        </w:rPr>
        <w:t xml:space="preserve">Територіальна альтернатива 1 обумовлена розташуванням </w:t>
      </w:r>
      <w:r w:rsidR="002E7462" w:rsidRPr="0004010A">
        <w:rPr>
          <w:lang w:val="uk-UA"/>
        </w:rPr>
        <w:t xml:space="preserve">і призначенням </w:t>
      </w:r>
      <w:r w:rsidR="004420F7" w:rsidRPr="0004010A">
        <w:rPr>
          <w:lang w:val="uk-UA"/>
        </w:rPr>
        <w:t xml:space="preserve">існуючого та </w:t>
      </w:r>
      <w:r w:rsidRPr="0004010A">
        <w:rPr>
          <w:lang w:val="uk-UA"/>
        </w:rPr>
        <w:t xml:space="preserve">діючого  глибоководного суднового ходу р. Дунай - Чорне море </w:t>
      </w:r>
      <w:r w:rsidR="00955B57" w:rsidRPr="0004010A">
        <w:rPr>
          <w:lang w:val="uk-UA"/>
        </w:rPr>
        <w:t xml:space="preserve">- Україна, </w:t>
      </w:r>
      <w:r w:rsidR="006B0C08" w:rsidRPr="0004010A">
        <w:rPr>
          <w:lang w:val="uk-UA"/>
        </w:rPr>
        <w:t>Одеська область, Ізмаїльський,</w:t>
      </w:r>
      <w:r w:rsidR="00955B57" w:rsidRPr="0004010A">
        <w:rPr>
          <w:lang w:val="uk-UA"/>
        </w:rPr>
        <w:t xml:space="preserve"> Кілійський </w:t>
      </w:r>
      <w:r w:rsidR="006B0C08" w:rsidRPr="0004010A">
        <w:rPr>
          <w:lang w:val="uk-UA"/>
        </w:rPr>
        <w:t xml:space="preserve"> та Ренійський </w:t>
      </w:r>
      <w:r w:rsidR="00955B57" w:rsidRPr="0004010A">
        <w:rPr>
          <w:lang w:val="uk-UA"/>
        </w:rPr>
        <w:t>райони.</w:t>
      </w:r>
    </w:p>
    <w:p w:rsidR="00955B57" w:rsidRPr="00D633A5" w:rsidRDefault="00955B57" w:rsidP="00D633A5">
      <w:pPr>
        <w:pStyle w:val="a4"/>
        <w:jc w:val="both"/>
        <w:rPr>
          <w:sz w:val="24"/>
          <w:szCs w:val="24"/>
          <w:lang w:val="uk-UA"/>
        </w:rPr>
      </w:pPr>
    </w:p>
    <w:p w:rsidR="00E637F9" w:rsidRPr="0004010A" w:rsidRDefault="00E637F9" w:rsidP="00D633A5">
      <w:pPr>
        <w:pStyle w:val="a4"/>
        <w:spacing w:after="120"/>
        <w:jc w:val="both"/>
        <w:rPr>
          <w:lang w:val="uk-UA"/>
        </w:rPr>
      </w:pPr>
      <w:r w:rsidRPr="0004010A">
        <w:rPr>
          <w:lang w:val="uk-UA"/>
        </w:rPr>
        <w:t>Місце провадження планованої діяльності: територіальна альтернатива 2.</w:t>
      </w:r>
    </w:p>
    <w:p w:rsidR="00E637F9" w:rsidRPr="0004010A" w:rsidRDefault="002E7462" w:rsidP="00D633A5">
      <w:pPr>
        <w:pStyle w:val="a4"/>
        <w:jc w:val="both"/>
        <w:rPr>
          <w:lang w:val="uk-UA"/>
        </w:rPr>
      </w:pPr>
      <w:r w:rsidRPr="0004010A">
        <w:rPr>
          <w:lang w:val="uk-UA"/>
        </w:rPr>
        <w:t>Реконструкція об’єктів будівництва «Створення глибоководного суднового ходу р. Дунай - Чорне море на українській ділянці дельти»</w:t>
      </w:r>
      <w:r w:rsidR="00081559" w:rsidRPr="0004010A">
        <w:rPr>
          <w:lang w:val="uk-UA"/>
        </w:rPr>
        <w:t xml:space="preserve"> </w:t>
      </w:r>
      <w:r w:rsidR="00E637F9" w:rsidRPr="0004010A">
        <w:rPr>
          <w:lang w:val="uk-UA"/>
        </w:rPr>
        <w:t xml:space="preserve">по суті  </w:t>
      </w:r>
      <w:r w:rsidR="00081559" w:rsidRPr="0004010A">
        <w:rPr>
          <w:lang w:val="uk-UA"/>
        </w:rPr>
        <w:t>є поетапним</w:t>
      </w:r>
      <w:r w:rsidR="00E637F9" w:rsidRPr="0004010A">
        <w:rPr>
          <w:lang w:val="uk-UA"/>
        </w:rPr>
        <w:t xml:space="preserve"> збільшен</w:t>
      </w:r>
      <w:r w:rsidR="00081559" w:rsidRPr="0004010A">
        <w:rPr>
          <w:lang w:val="uk-UA"/>
        </w:rPr>
        <w:t>ням глибин шляхом днопоглиблення</w:t>
      </w:r>
      <w:r w:rsidR="00E637F9" w:rsidRPr="0004010A">
        <w:rPr>
          <w:lang w:val="uk-UA"/>
        </w:rPr>
        <w:t xml:space="preserve"> існуючих та  діючих </w:t>
      </w:r>
      <w:r w:rsidR="00081559" w:rsidRPr="0004010A">
        <w:rPr>
          <w:lang w:val="uk-UA"/>
        </w:rPr>
        <w:t xml:space="preserve">об’єктів глибоководного суднового ходу р. Дунай </w:t>
      </w:r>
      <w:r w:rsidR="00013E60" w:rsidRPr="0004010A">
        <w:rPr>
          <w:lang w:val="uk-UA"/>
        </w:rPr>
        <w:t>–</w:t>
      </w:r>
      <w:r w:rsidR="00081559" w:rsidRPr="0004010A">
        <w:rPr>
          <w:lang w:val="uk-UA"/>
        </w:rPr>
        <w:t xml:space="preserve"> Чорне</w:t>
      </w:r>
      <w:r w:rsidR="00013E60" w:rsidRPr="0004010A">
        <w:rPr>
          <w:lang w:val="uk-UA"/>
        </w:rPr>
        <w:t xml:space="preserve"> море</w:t>
      </w:r>
      <w:r w:rsidR="00081559" w:rsidRPr="0004010A">
        <w:rPr>
          <w:lang w:val="uk-UA"/>
        </w:rPr>
        <w:t xml:space="preserve">. </w:t>
      </w:r>
      <w:r w:rsidR="00E637F9" w:rsidRPr="0004010A">
        <w:rPr>
          <w:lang w:val="uk-UA"/>
        </w:rPr>
        <w:t xml:space="preserve">Проведення реконструкції за територіальними межами цих існуючих </w:t>
      </w:r>
      <w:r w:rsidR="00081559" w:rsidRPr="0004010A">
        <w:rPr>
          <w:lang w:val="uk-UA"/>
        </w:rPr>
        <w:t xml:space="preserve">об’єктів </w:t>
      </w:r>
      <w:r w:rsidR="00E637F9" w:rsidRPr="0004010A">
        <w:rPr>
          <w:lang w:val="uk-UA"/>
        </w:rPr>
        <w:t>не має сенсу. Територіальна альтернатива 2 - відсутня.</w:t>
      </w:r>
    </w:p>
    <w:p w:rsidR="008E4299" w:rsidRPr="00D633A5" w:rsidRDefault="008E4299" w:rsidP="008E429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4. Соціально-економічний вплив планованої діяльності</w:t>
      </w:r>
    </w:p>
    <w:p w:rsidR="006F3714" w:rsidRPr="00D633A5" w:rsidRDefault="006F3714" w:rsidP="008E429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4232" w:rsidRPr="0004010A" w:rsidRDefault="00174232" w:rsidP="0017423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умов для здійснення судноплавства в українській частині дельти Дунаю сприятиме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збільшенню зайнятості та рівня оплати праці в найперспективніших і найдинамічніших галузях господарства. Так, мають з'явитися додаткові робочі місця на флоті, у портах, на залізничному та автотранспорті, в обслуговуючих організаціях, на промислових підприємствах суднобудування і судноремонту тощо. Прогнозується зростання інвестицій не лише в транспортний комплекс, а й в інші галузі господарства та інфраструктуру регіону. Для мешканців придунайських міст і сіл значно покращаться умови пасажирського сполучення</w:t>
      </w:r>
      <w:r w:rsidR="00877E02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розвитку водного туризму, зокрема й міжнародного. </w:t>
      </w:r>
    </w:p>
    <w:p w:rsidR="00174232" w:rsidRPr="0004010A" w:rsidRDefault="00877E02" w:rsidP="00877E02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Таким чином, планована діяльність</w:t>
      </w:r>
      <w:r w:rsidR="00174232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призведе до істотних позитивних зрушень у соціальній сфері регіону і значно збільшить загальний рівень добробуту населення.</w:t>
      </w:r>
    </w:p>
    <w:p w:rsidR="008E4299" w:rsidRDefault="008E4299" w:rsidP="008E429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5. Загальні технічні характеристики, у тому числі параметри планованої діяльності (потужність, довжина, площа, обсяг виробництва тощо)</w:t>
      </w:r>
    </w:p>
    <w:p w:rsidR="008F7EC0" w:rsidRPr="0004010A" w:rsidRDefault="008F7EC0" w:rsidP="008E429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694F" w:rsidRPr="0004010A" w:rsidRDefault="00A4694F" w:rsidP="00A4694F">
      <w:pPr>
        <w:widowControl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Технічні характеристики будівництва І пускового</w:t>
      </w:r>
      <w:r w:rsidR="000D1F4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комплексу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</w:t>
      </w:r>
      <w:r w:rsidR="000D1F4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ають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фактично досягнути</w:t>
      </w:r>
      <w:r w:rsidR="000D1F4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параметр</w:t>
      </w:r>
      <w:r w:rsidR="000D1F4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ГСХ р. Дунай - Чорне море</w:t>
      </w:r>
      <w:r w:rsidR="000D1F4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яких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</w:t>
      </w:r>
      <w:r w:rsidR="000D1F4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максимальні параметри розрахункового судна.</w:t>
      </w:r>
    </w:p>
    <w:p w:rsidR="00A4694F" w:rsidRPr="0004010A" w:rsidRDefault="00A4694F" w:rsidP="00A4694F">
      <w:pPr>
        <w:widowControl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Технічні характеристики будівництва II пускового комплексу - </w:t>
      </w:r>
      <w:r w:rsidR="000D1F4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абезпечення проходження розрахункового судна із осадкою 5,0 м</w:t>
      </w:r>
      <w:r w:rsidR="000D1F4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D1F43" w:rsidRPr="000401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ширин</w:t>
      </w:r>
      <w:r w:rsidR="000D1F4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- 17,0 м,</w:t>
      </w:r>
      <w:r w:rsidR="000D1F4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довжин</w:t>
      </w:r>
      <w:r w:rsidR="000D1F4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- 125 м</w:t>
      </w:r>
      <w:r w:rsidR="000D1F4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694F" w:rsidRPr="0004010A" w:rsidRDefault="00A4694F" w:rsidP="000D1F43">
      <w:pPr>
        <w:widowControl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Технічні характеристики будівництва III пускового комплексу - </w:t>
      </w:r>
      <w:r w:rsidR="000D1F4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абезпечення проходження розрахункового судна із осадкою 7,2 м</w:t>
      </w:r>
    </w:p>
    <w:p w:rsidR="004D2B40" w:rsidRPr="0004010A" w:rsidRDefault="000D1F43" w:rsidP="004D2B40">
      <w:pPr>
        <w:widowControl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D2B40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еконструкція споруди огороджувальна дамба </w:t>
      </w:r>
      <w:r w:rsidR="00DE7CF1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морського підхідного каналу</w:t>
      </w:r>
      <w:r w:rsidR="004D2B40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ГСХ р. Дунай – Чорне море здійснюється з виділенням 3-х пускових комплексів</w:t>
      </w:r>
      <w:r w:rsidR="00B3543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927B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ПК І</w:t>
      </w:r>
      <w:r w:rsidR="00B3543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4D2B40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543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реконструкція існуючої </w:t>
      </w:r>
      <w:r w:rsidR="00567B5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(північної) </w:t>
      </w:r>
      <w:r w:rsidR="00B3543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огороджувальної дамби зі зміною її конфігурації на наближеній до берега ділянці</w:t>
      </w:r>
      <w:r w:rsidR="00D927B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довжиною </w:t>
      </w:r>
      <w:r w:rsidR="00EC4E9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1700</w:t>
      </w:r>
      <w:r w:rsidR="00670C81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27B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B3543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013E60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D927B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ПК ІІ </w:t>
      </w:r>
      <w:r w:rsidR="00567B5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3543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будівництво </w:t>
      </w:r>
      <w:r w:rsidR="00567B5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наближеної до берега ділянки </w:t>
      </w:r>
      <w:r w:rsidR="00B3543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паралельної</w:t>
      </w:r>
      <w:r w:rsidR="00567B5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(південної) струменестискувальної дамби</w:t>
      </w:r>
      <w:r w:rsidR="00D927B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довжиною</w:t>
      </w:r>
      <w:r w:rsidR="00670C81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4E9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1900</w:t>
      </w:r>
      <w:r w:rsidR="00670C81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27B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67B5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B3543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27B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ПК ІІІ</w:t>
      </w:r>
      <w:r w:rsidR="00567B5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D927B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добудова віддалених</w:t>
      </w:r>
      <w:r w:rsidR="00567B5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бере</w:t>
      </w:r>
      <w:r w:rsidR="00D927B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ділянок</w:t>
      </w:r>
      <w:r w:rsidR="00567B5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27B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південної та північної стру</w:t>
      </w:r>
      <w:r w:rsidR="00A7109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менестискувальних дамб</w:t>
      </w:r>
      <w:r w:rsidR="00D927B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довжиною </w:t>
      </w:r>
      <w:r w:rsidR="00EC4E9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900</w:t>
      </w:r>
      <w:r w:rsidR="00670C81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27B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і </w:t>
      </w:r>
      <w:r w:rsidR="00EC4E9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2300</w:t>
      </w:r>
      <w:r w:rsidR="00670C81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27B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відповідно</w:t>
      </w:r>
      <w:r w:rsidR="00541DFD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67B5E" w:rsidRPr="0004010A" w:rsidRDefault="00567B5E" w:rsidP="004D2B40">
      <w:pPr>
        <w:widowControl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D2B40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кладування ґрунтів днопоглиблення річкової частини </w:t>
      </w:r>
      <w:r w:rsidR="002E56DA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ГСХ </w:t>
      </w:r>
      <w:r w:rsidR="004D2B40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на діючі річкові </w:t>
      </w:r>
      <w:r w:rsidR="00762B3D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відвали та берегові гідровідвали</w:t>
      </w:r>
      <w:r w:rsidR="004D2B40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складування ґрунтів днопоглиблення морської частини здійснюється на існуюч</w:t>
      </w:r>
      <w:r w:rsidR="00403F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морськ</w:t>
      </w:r>
      <w:r w:rsidR="00386DDC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6DDC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підводний відвал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F20E9" w:rsidRPr="0004010A" w:rsidRDefault="00555B8D" w:rsidP="004D2B40">
      <w:pPr>
        <w:widowControl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Орієнтовна </w:t>
      </w:r>
      <w:r w:rsidR="00FF20E9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довжина</w:t>
      </w:r>
      <w:r w:rsidR="000D061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реконструйованого </w:t>
      </w:r>
      <w:r w:rsidR="00FF20E9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061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морського підхідного каналу ГСХ р. Дунай – Чорне море </w:t>
      </w:r>
      <w:r w:rsidR="00FF20E9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складатиме</w:t>
      </w:r>
      <w:r w:rsidR="00AA73E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061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A60F6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,8</w:t>
      </w:r>
      <w:r w:rsidR="00AA73E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км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річкової частини - </w:t>
      </w:r>
      <w:r w:rsidR="00AA73E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168.86 км.</w:t>
      </w:r>
    </w:p>
    <w:p w:rsidR="00555B8D" w:rsidRPr="0004010A" w:rsidRDefault="00555B8D" w:rsidP="00D633A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Орієнтовний сумарний обсяг ґрунтів днопоглиблення </w:t>
      </w:r>
      <w:r w:rsidR="00AA73E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складатиме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3E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10 000 тис.м</w:t>
      </w:r>
      <w:r w:rsidR="00AA73EF" w:rsidRPr="0004010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AA73E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4299" w:rsidRPr="0004010A" w:rsidRDefault="008E4299" w:rsidP="008E4299">
      <w:pPr>
        <w:widowControl w:val="0"/>
        <w:autoSpaceDE w:val="0"/>
        <w:autoSpaceDN w:val="0"/>
        <w:adjustRightInd w:val="0"/>
        <w:spacing w:before="12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6. Екологічні та інші обмеження планованої діяльності за альтернативами:</w:t>
      </w:r>
    </w:p>
    <w:p w:rsidR="001A634F" w:rsidRPr="0004010A" w:rsidRDefault="001A634F" w:rsidP="008E4299">
      <w:pPr>
        <w:spacing w:before="120"/>
        <w:ind w:right="-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634F" w:rsidRPr="0004010A" w:rsidRDefault="001A634F" w:rsidP="008E4299">
      <w:pPr>
        <w:spacing w:before="120"/>
        <w:ind w:right="-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Технічна альтернатива 1</w:t>
      </w:r>
    </w:p>
    <w:p w:rsidR="001A634F" w:rsidRPr="0004010A" w:rsidRDefault="001A634F" w:rsidP="00D633A5">
      <w:pPr>
        <w:ind w:right="-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6697" w:rsidRPr="00F34067" w:rsidRDefault="00450C9D" w:rsidP="00D633A5">
      <w:pPr>
        <w:ind w:right="-51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>Проходження частини траси ГСХ Дунай – Чорне море в межах зони антропогенних ландшафтів Дунайського біосферного заповідника</w:t>
      </w:r>
      <w:r w:rsidR="008A6697"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(ДБЗ), </w:t>
      </w:r>
      <w:r w:rsidR="000262D7"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A6697"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якій допускається антропогенна діяльність, у тому числі, судноплавство</w:t>
      </w:r>
      <w:r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50C9D" w:rsidRPr="00F34067" w:rsidRDefault="00450C9D" w:rsidP="00450C9D">
      <w:pPr>
        <w:spacing w:before="120"/>
        <w:ind w:right="-51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>У період масового розмноження диких тварин будівельні роботи, які є джерелом підвищеного шуму та неспокою, ведуться згідно вимог «Положення про Дунайський біосферний заповідник».</w:t>
      </w:r>
    </w:p>
    <w:p w:rsidR="00450C9D" w:rsidRPr="00F34067" w:rsidRDefault="00450C9D" w:rsidP="00450C9D">
      <w:pPr>
        <w:spacing w:before="120"/>
        <w:ind w:right="-51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Необхідність припинення будівельних робіт у періоди НМУ (зокрема штормів та льодових явищ).</w:t>
      </w:r>
    </w:p>
    <w:p w:rsidR="00450C9D" w:rsidRPr="00450C9D" w:rsidRDefault="00450C9D" w:rsidP="001A634F">
      <w:pPr>
        <w:spacing w:before="120"/>
        <w:ind w:right="-51" w:firstLine="0"/>
        <w:contextualSpacing/>
        <w:rPr>
          <w:rFonts w:ascii="Times New Roman" w:eastAsia="Times New Roman" w:hAnsi="Times New Roman" w:cs="Times New Roman"/>
          <w:sz w:val="28"/>
          <w:szCs w:val="28"/>
          <w:highlight w:val="green"/>
          <w:lang w:val="uk-UA"/>
        </w:rPr>
      </w:pPr>
      <w:r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Необхідність обмеження будівельних робіт, по окремим ділянкам, під час дії спеціалізованих державних нерестових заборон на використання водних біоресурсів.</w:t>
      </w:r>
    </w:p>
    <w:p w:rsidR="00450C9D" w:rsidRDefault="00450C9D" w:rsidP="001A634F">
      <w:pPr>
        <w:spacing w:before="120"/>
        <w:ind w:right="-51" w:firstLine="0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450C9D" w:rsidRDefault="00450C9D" w:rsidP="001A634F">
      <w:pPr>
        <w:spacing w:before="120"/>
        <w:ind w:right="-51" w:firstLine="0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1A634F" w:rsidRPr="003D58ED" w:rsidRDefault="001A634F" w:rsidP="001A634F">
      <w:pPr>
        <w:keepNext/>
        <w:spacing w:before="120"/>
        <w:ind w:right="-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58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Технічна альтернатива 2</w:t>
      </w:r>
    </w:p>
    <w:p w:rsidR="00450C9D" w:rsidRPr="0057265C" w:rsidRDefault="00450C9D" w:rsidP="00450C9D">
      <w:pPr>
        <w:spacing w:before="120"/>
        <w:ind w:right="-51" w:firstLine="567"/>
        <w:contextualSpacing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A6697" w:rsidRPr="00F34067" w:rsidRDefault="008A6697" w:rsidP="008A6697">
      <w:pPr>
        <w:spacing w:before="120"/>
        <w:ind w:right="-51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>Проходження частини траси ГСХ Дунай – Чорне море в межах зони антропогенних ландшафтів Дунайського біосферного заповідника</w:t>
      </w:r>
      <w:r w:rsidR="000262D7"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(ДБЗ), у</w:t>
      </w:r>
      <w:r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якій допускається антропогенна діяльність, у тому числі, судноплавство. </w:t>
      </w:r>
    </w:p>
    <w:p w:rsidR="00450C9D" w:rsidRPr="00F34067" w:rsidRDefault="00450C9D" w:rsidP="00450C9D">
      <w:pPr>
        <w:spacing w:before="120"/>
        <w:ind w:right="-51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>У період масового розмноження диких тварин будівельні роботи, які є джерелом підвищеного шуму та неспокою, ведуться згідно вимог «Положення про Дунайський біосферний заповідник».</w:t>
      </w:r>
    </w:p>
    <w:p w:rsidR="00450C9D" w:rsidRPr="00F34067" w:rsidRDefault="00450C9D" w:rsidP="00450C9D">
      <w:pPr>
        <w:spacing w:before="120"/>
        <w:ind w:right="-51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Необхідність припинення будівельних робіт у періоди НМУ (зокрема штормів та льодових явищ).</w:t>
      </w:r>
    </w:p>
    <w:p w:rsidR="00450C9D" w:rsidRPr="00F34067" w:rsidRDefault="00450C9D" w:rsidP="00450C9D">
      <w:pPr>
        <w:spacing w:before="120"/>
        <w:ind w:right="-51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Необхідність обмеження будівельних робіт, по окремим ділянкам, під час дії спеціалізованих державних нерестових заборон на використання водних біоресурсів.</w:t>
      </w:r>
    </w:p>
    <w:p w:rsidR="00450C9D" w:rsidRPr="0057265C" w:rsidRDefault="00450C9D" w:rsidP="00450C9D">
      <w:pPr>
        <w:spacing w:before="120"/>
        <w:ind w:right="-51" w:firstLine="0"/>
        <w:contextualSpacing/>
        <w:rPr>
          <w:rFonts w:ascii="Times New Roman" w:eastAsia="Times New Roman" w:hAnsi="Times New Roman" w:cs="Times New Roman"/>
          <w:sz w:val="24"/>
          <w:szCs w:val="24"/>
          <w:highlight w:val="green"/>
          <w:lang w:val="uk-UA"/>
        </w:rPr>
      </w:pPr>
    </w:p>
    <w:p w:rsidR="008E4299" w:rsidRPr="0004010A" w:rsidRDefault="008E4299" w:rsidP="008E4299">
      <w:pPr>
        <w:spacing w:before="120"/>
        <w:ind w:right="-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hAnsi="Times New Roman"/>
          <w:sz w:val="28"/>
          <w:szCs w:val="28"/>
        </w:rPr>
        <w:t xml:space="preserve">7. </w:t>
      </w:r>
      <w:r w:rsidRPr="0004010A">
        <w:rPr>
          <w:rFonts w:ascii="Times New Roman" w:hAnsi="Times New Roman"/>
          <w:sz w:val="28"/>
          <w:szCs w:val="28"/>
          <w:lang w:val="uk-UA"/>
        </w:rPr>
        <w:t>Необхідна еколого-інженерна підготовка і захист території за альтернативами:</w:t>
      </w:r>
    </w:p>
    <w:p w:rsidR="001A634F" w:rsidRPr="0057265C" w:rsidRDefault="001A634F" w:rsidP="008E4299">
      <w:pPr>
        <w:spacing w:before="120"/>
        <w:ind w:right="-51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4299" w:rsidRPr="0004010A" w:rsidRDefault="001A634F" w:rsidP="006F3714">
      <w:pPr>
        <w:spacing w:before="120"/>
        <w:ind w:right="-51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За обома технічними альтернативами необхідна еколого-</w:t>
      </w:r>
      <w:r w:rsidR="00762B3D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інженерн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62B3D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підготовк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62B3D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території </w:t>
      </w:r>
      <w:r w:rsidR="00762B3D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берегових гідровідвалів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ґрунтів днопоглиблення.</w:t>
      </w:r>
      <w:r w:rsidR="00762B3D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62B3D" w:rsidRPr="0004010A" w:rsidRDefault="00762B3D" w:rsidP="008E4299">
      <w:pPr>
        <w:widowControl w:val="0"/>
        <w:autoSpaceDE w:val="0"/>
        <w:autoSpaceDN w:val="0"/>
        <w:adjustRightInd w:val="0"/>
        <w:spacing w:before="12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4299" w:rsidRPr="0004010A" w:rsidRDefault="008E4299" w:rsidP="00231771">
      <w:pPr>
        <w:widowControl w:val="0"/>
        <w:autoSpaceDE w:val="0"/>
        <w:autoSpaceDN w:val="0"/>
        <w:adjustRightInd w:val="0"/>
        <w:spacing w:before="12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8. Сфера, джерела та види можливого впливу на довкілля:</w:t>
      </w:r>
    </w:p>
    <w:p w:rsidR="001A634F" w:rsidRPr="0057265C" w:rsidRDefault="001A634F" w:rsidP="0057265C">
      <w:pPr>
        <w:widowControl w:val="0"/>
        <w:autoSpaceDE w:val="0"/>
        <w:autoSpaceDN w:val="0"/>
        <w:adjustRightInd w:val="0"/>
        <w:spacing w:before="12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4299" w:rsidRPr="0004010A" w:rsidRDefault="008E4299" w:rsidP="00231771">
      <w:pPr>
        <w:widowControl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Сфера можливого впливу планованої діяльності </w:t>
      </w:r>
      <w:r w:rsidR="001A634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A634F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обох технічних альтернатив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охоплює:</w:t>
      </w:r>
    </w:p>
    <w:p w:rsidR="008E4299" w:rsidRPr="0004010A" w:rsidRDefault="008E4299" w:rsidP="002317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2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повітряне середовище</w:t>
      </w:r>
      <w:r w:rsidR="006C140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місця дислокації будівельних машин</w:t>
      </w:r>
      <w:r w:rsidR="00762B3D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механізмів та плавзасобів </w:t>
      </w:r>
      <w:r w:rsidR="006C140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вздовж </w:t>
      </w:r>
      <w:r w:rsidR="002664A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рукавів </w:t>
      </w:r>
      <w:r w:rsidR="006C140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Кілійського, Старостамбульського</w:t>
      </w:r>
      <w:r w:rsidR="002664A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C140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Бистрого та морського підхідного каналу в будівельний період та при проведенні експлуатаційних днопоглиблювальних робіт; місця п</w:t>
      </w:r>
      <w:r w:rsidR="00386DDC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ересування</w:t>
      </w:r>
      <w:r w:rsidR="006C140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плавзасобів </w:t>
      </w:r>
      <w:r w:rsidR="00DE7CF1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транспортуванні ґрунтів днопоглиблення з району морського підхідного ка</w:t>
      </w:r>
      <w:r w:rsidR="00762B3D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налу</w:t>
      </w:r>
      <w:r w:rsidR="00231771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6DDC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231771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морськ</w:t>
      </w:r>
      <w:r w:rsidR="00386DDC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підводного відвалу</w:t>
      </w:r>
      <w:r w:rsidR="00762B3D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386DDC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траса проходження </w:t>
      </w:r>
      <w:r w:rsidR="00762674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транзитних </w:t>
      </w:r>
      <w:r w:rsidR="00762B3D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суден в період експлуатації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E4299" w:rsidRPr="0004010A" w:rsidRDefault="008E4299" w:rsidP="002317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2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геологічне середовище</w:t>
      </w:r>
      <w:r w:rsidR="00F14A2C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місця 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техногенних </w:t>
      </w:r>
      <w:r w:rsidR="00F14A2C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 рельєфу дна та берегів вздовж траси </w:t>
      </w:r>
      <w:r w:rsidR="00F14A2C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ГСХ </w:t>
      </w:r>
      <w:r w:rsidR="00FD4329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="00F14A2C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Дунай – Чорне море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14A2C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ділянка узмор’я, прилегла до гирла </w:t>
      </w:r>
      <w:r w:rsidR="002664A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рукава </w:t>
      </w:r>
      <w:r w:rsidR="00F14A2C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Бистр</w:t>
      </w:r>
      <w:r w:rsidR="002664A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ED5335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14A2C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 є імовірними зміни процесів еволюції дельти Дунаю внаслідок змінених гідродинамічних умов 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морській частині 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ГСХ </w:t>
      </w:r>
      <w:r w:rsidR="00FD4329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Дунай</w:t>
      </w:r>
      <w:r w:rsidR="00ED5335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– Чорне море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80622" w:rsidRPr="0004010A" w:rsidRDefault="008E4299" w:rsidP="002317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2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водне середовище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C0D7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пошкодження поверхні дна </w:t>
      </w:r>
      <w:r w:rsidR="009C0D7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</w:t>
      </w:r>
      <w:r w:rsidR="009C0D7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з днопоглиблення, реконструкції городжувальної дамби і </w:t>
      </w:r>
      <w:r w:rsidR="009C0D7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підводного складування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ґрунту; </w:t>
      </w:r>
      <w:r w:rsidR="009C0D7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ділянки дельти Дунаю де є імовірною 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зміна гідрологічного і гідродинамічного режиму як наслідок проведення </w:t>
      </w:r>
      <w:r w:rsidR="009C0D7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будівельних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і проходження суден; </w:t>
      </w:r>
      <w:r w:rsidR="009C0D7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надходження в воду завислих і розчинених забруднюючих речовин </w:t>
      </w:r>
      <w:r w:rsidR="00386DDC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переміщ</w:t>
      </w:r>
      <w:r w:rsidR="00386DDC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енні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ґрунтів днопоглиблення</w:t>
      </w:r>
      <w:r w:rsidR="009C0D7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</w:t>
      </w:r>
      <w:r w:rsidR="00117EF4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випадках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порушенн</w:t>
      </w:r>
      <w:r w:rsidR="00117EF4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режиму </w:t>
      </w:r>
      <w:r w:rsidR="00762674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експлуатації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суден і </w:t>
      </w:r>
      <w:r w:rsidR="00117EF4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скоєння</w:t>
      </w:r>
      <w:r w:rsidR="0058062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аварі</w:t>
      </w:r>
      <w:r w:rsidR="00117EF4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й;</w:t>
      </w:r>
    </w:p>
    <w:p w:rsidR="008E4299" w:rsidRPr="0004010A" w:rsidRDefault="00117EF4" w:rsidP="002317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2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="008E4299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рунти</w:t>
      </w:r>
      <w:r w:rsidR="009C0D7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D7A41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берегових гідровідвалів; прилеглі до </w:t>
      </w:r>
      <w:r w:rsidR="002664A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рукавів</w:t>
      </w:r>
      <w:r w:rsidR="003D7A41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64A2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дельти </w:t>
      </w:r>
      <w:r w:rsidR="003D7A41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ділянки, де є імовірними зміни водного режиму ґрунтів</w:t>
      </w:r>
      <w:r w:rsidR="008E4299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E4299" w:rsidRPr="0004010A" w:rsidRDefault="008E4299" w:rsidP="002317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2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рослинний і тваринний світ</w:t>
      </w:r>
      <w:r w:rsidR="00ED5335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опосередкований вплив є можливим в межах сфери усіх перелічених впливів на абіотичні умови довкілля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2674" w:rsidRPr="0004010A" w:rsidRDefault="008E4299" w:rsidP="008E4299">
      <w:pPr>
        <w:widowControl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</w:t>
      </w:r>
      <w:r w:rsidR="00231771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ами впливів планован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231771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ї діяльності на довкілля є</w:t>
      </w:r>
      <w:r w:rsidR="00762674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62674" w:rsidRPr="0004010A" w:rsidRDefault="00231771" w:rsidP="007626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2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2674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будівельні машини та механізми, плавзасоби та транзитні судна (газоподібні та аерозольні викиди у повітря, акустичне забруднення, механічна дія</w:t>
      </w:r>
      <w:r w:rsidR="002660F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хімічне забруднення води та збільшення вмісту у воді завислих речовин</w:t>
      </w:r>
      <w:r w:rsidR="00710917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проведення робіт з днопоглиблення та складування ґрунтів днопоглиблення</w:t>
      </w:r>
      <w:r w:rsidR="002660F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</w:t>
      </w:r>
    </w:p>
    <w:p w:rsidR="00762674" w:rsidRPr="0004010A" w:rsidRDefault="002664A2" w:rsidP="007626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2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змінена внаслідок </w:t>
      </w:r>
      <w:r w:rsidR="00403F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планованої діяльності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морфометрія рукавів та </w:t>
      </w:r>
      <w:r w:rsidR="00403F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району морського підхідного каналу </w:t>
      </w:r>
      <w:r w:rsidR="002660F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(гідр</w:t>
      </w:r>
      <w:r w:rsidR="00762674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660F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логічний вплив та гідродинамічна дія).</w:t>
      </w:r>
    </w:p>
    <w:p w:rsidR="008E4299" w:rsidRPr="0004010A" w:rsidRDefault="002660F8" w:rsidP="008E429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Прямі види впливів при цьому поділяються на хімічні, фізичні</w:t>
      </w:r>
      <w:r w:rsidR="009F31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механічні. </w:t>
      </w:r>
      <w:r w:rsidR="008E4299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Опосередкованим видом впливу є біологічний (зміна умов життєдіяльності гідробіоценозів). 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9. Належність планованої діяльності до першої чи другої категорії видів діяльності та об’єктів, які можуть мати значний вплив на довкілля та підлягають оцінці впливу на довкілля (зазначити відповідний пункт і частину статті 3 Закону України “Про оцінку впливу на довкілля”)</w:t>
      </w:r>
    </w:p>
    <w:p w:rsidR="006F3714" w:rsidRPr="0004010A" w:rsidRDefault="006F3714" w:rsidP="008E429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4299" w:rsidRPr="0004010A" w:rsidRDefault="000E4871" w:rsidP="006F371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Планована діяльність</w:t>
      </w:r>
      <w:r w:rsidR="00403F7E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E4299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3F7E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3F7E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врахуванням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параметрів розрахункового судна, що зможе проходити глибоководним судновим ходом</w:t>
      </w:r>
      <w:r w:rsidR="00AF27C7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E4299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належить до </w:t>
      </w:r>
      <w:r w:rsidR="007A7C1E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першої</w:t>
      </w:r>
      <w:r w:rsidR="008E4299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 видів діяльності та об’єктів, які можуть мати значний вплив на довкілля та підлягають оцінці впливу на довкілля</w:t>
      </w:r>
      <w:r w:rsidR="00F01729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саме, до будівництва «глибоководних суднових ходів, у тому числі у природних руслах річок, спеціальних каналів на суходолі та у мілководних морських акваторіях, придатних для проходження суден тоннажністю понад 1350 тонн»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(абзац 7 пункту 7 частини 2 статті 3 Закону України “Про оцінку впливу на довкілля”). </w:t>
      </w:r>
    </w:p>
    <w:p w:rsidR="00BF4E85" w:rsidRPr="0004010A" w:rsidRDefault="00BF4E85" w:rsidP="006F371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Така планована діяльність згідно пункту 5  статті 3 цього Закону підлягає  оцінці транскордонного впливу на довкілля.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299" w:rsidRPr="0004010A" w:rsidRDefault="008E4299" w:rsidP="007A7C1E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10. Наявність підстав для здійснення оцінки транскордонного впливу на довкілля (в тому числі наявність значного негативного транскордонного впливу на довкілля</w:t>
      </w:r>
      <w:r w:rsidR="007A1187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перелік держав, довкілля яких може зазнати значного негативного транскордонного впливу (зачеплених держав)</w:t>
      </w:r>
    </w:p>
    <w:p w:rsidR="006F3714" w:rsidRPr="0004010A" w:rsidRDefault="006F3714" w:rsidP="00897FF3">
      <w:pPr>
        <w:pStyle w:val="a3"/>
        <w:widowControl w:val="0"/>
        <w:autoSpaceDE w:val="0"/>
        <w:autoSpaceDN w:val="0"/>
        <w:adjustRightInd w:val="0"/>
        <w:ind w:left="851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7C1E" w:rsidRPr="0004010A" w:rsidRDefault="007A7C1E" w:rsidP="006F3714">
      <w:pPr>
        <w:pStyle w:val="a3"/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Підстави для здійснення оцінки транскордонного впливу на довкілля </w:t>
      </w:r>
      <w:r w:rsidR="006F3714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обумовлені</w:t>
      </w:r>
      <w:r w:rsidR="00730ECE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</w:t>
      </w:r>
      <w:r w:rsidR="006F3714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ем</w:t>
      </w:r>
      <w:r w:rsidR="00730ECE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</w:t>
      </w:r>
      <w:r w:rsidR="006F3714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планованої діяльності, а саме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E4299" w:rsidRPr="0004010A" w:rsidRDefault="007A7C1E" w:rsidP="007A7C1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близькіст</w:t>
      </w:r>
      <w:r w:rsidR="006F3714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здійснення планованої діяльності до кордону з Румунією</w:t>
      </w:r>
      <w:r w:rsidR="00897FF3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97FF3" w:rsidRPr="0004010A" w:rsidRDefault="00FD4329" w:rsidP="007A7C1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існування</w:t>
      </w:r>
      <w:r w:rsidR="006F3714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зоні впливу планованої діяльності білатерального </w:t>
      </w:r>
      <w:r w:rsidR="005B6083" w:rsidRPr="00F34067">
        <w:rPr>
          <w:rFonts w:ascii="Times New Roman" w:eastAsia="Times New Roman" w:hAnsi="Times New Roman" w:cs="Times New Roman"/>
          <w:sz w:val="28"/>
          <w:szCs w:val="28"/>
          <w:lang w:val="uk-UA"/>
        </w:rPr>
        <w:t>румунсько-українського біосферного резервату «Дельта Дунаю»,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однією з частин якого є  Дунайський біосферний заповідник на території України, а іншою </w:t>
      </w:r>
      <w:r w:rsidR="00386DDC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Біосферний заповідник Дельта Дунаю на території Румунії.</w:t>
      </w:r>
    </w:p>
    <w:p w:rsidR="006F3714" w:rsidRPr="0004010A" w:rsidRDefault="006F3714" w:rsidP="006F3714">
      <w:pPr>
        <w:widowControl w:val="0"/>
        <w:autoSpaceDE w:val="0"/>
        <w:autoSpaceDN w:val="0"/>
        <w:adjustRightInd w:val="0"/>
        <w:spacing w:before="120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Виходячи з цього, Румунія є можливою з</w:t>
      </w:r>
      <w:r w:rsidR="0056673C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ачепленою державою при здійсненні планованої діяльності.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124E0" w:rsidRPr="0004010A" w:rsidRDefault="006F3714" w:rsidP="00C84D16">
      <w:pPr>
        <w:widowControl w:val="0"/>
        <w:autoSpaceDE w:val="0"/>
        <w:autoSpaceDN w:val="0"/>
        <w:adjustRightInd w:val="0"/>
        <w:spacing w:before="120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 інших держав, розташованих у басейні р. Дунай, знаходяться поза межами зони впливу планованої діяльності, тому ці держави не м</w:t>
      </w:r>
      <w:r w:rsidR="00386DDC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ають</w:t>
      </w:r>
      <w:r w:rsidR="002938FE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достатніх</w:t>
      </w:r>
      <w:r w:rsidR="00386DDC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підстав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вважати себе зачепленими </w:t>
      </w:r>
      <w:r w:rsidR="00C84D16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при здійсненні планованої діяльності.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A1187" w:rsidRPr="0004010A" w:rsidRDefault="007A1187" w:rsidP="008E4299">
      <w:pPr>
        <w:widowControl w:val="0"/>
        <w:autoSpaceDE w:val="0"/>
        <w:autoSpaceDN w:val="0"/>
        <w:adjustRightInd w:val="0"/>
        <w:spacing w:before="12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4299" w:rsidRPr="0004010A" w:rsidRDefault="008E4299" w:rsidP="008E4299">
      <w:pPr>
        <w:widowControl w:val="0"/>
        <w:autoSpaceDE w:val="0"/>
        <w:autoSpaceDN w:val="0"/>
        <w:adjustRightInd w:val="0"/>
        <w:spacing w:before="12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11. Планований обсяг досліджень та рівень деталізації інформації, що підлягає включенню до звіту з оцінки впливу на довкілля</w:t>
      </w:r>
    </w:p>
    <w:p w:rsidR="007C7838" w:rsidRPr="0004010A" w:rsidRDefault="007C7838" w:rsidP="008E4299">
      <w:pPr>
        <w:widowControl w:val="0"/>
        <w:autoSpaceDE w:val="0"/>
        <w:autoSpaceDN w:val="0"/>
        <w:adjustRightInd w:val="0"/>
        <w:spacing w:before="12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4299" w:rsidRPr="0004010A" w:rsidRDefault="008E4299" w:rsidP="008E4299">
      <w:pPr>
        <w:widowControl w:val="0"/>
        <w:autoSpaceDE w:val="0"/>
        <w:autoSpaceDN w:val="0"/>
        <w:adjustRightInd w:val="0"/>
        <w:spacing w:before="12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включатимуть:</w:t>
      </w:r>
    </w:p>
    <w:p w:rsidR="008E4299" w:rsidRPr="0004010A" w:rsidRDefault="008E4299" w:rsidP="008E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</w:t>
      </w:r>
      <w:r w:rsidR="00C84D16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узагальнення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31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</w:t>
      </w:r>
      <w:r w:rsidR="00C84D16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9F31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комплексного екологічного моніторингу довкілля у зоні впливу </w:t>
      </w:r>
      <w:r w:rsidR="009F317E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ГСХ Дунай – Чорне море</w:t>
      </w:r>
      <w:r w:rsidR="00C84D16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постійно проводиться, починаючи з 2004 р.</w:t>
      </w:r>
      <w:r w:rsidR="009F317E"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F31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4D16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також інформації з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опублікован</w:t>
      </w:r>
      <w:r w:rsidR="009F31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архівн</w:t>
      </w:r>
      <w:r w:rsidR="009F31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джерел</w:t>
      </w:r>
      <w:r w:rsidR="009F31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C84D16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F31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характеризу</w:t>
      </w:r>
      <w:r w:rsidR="00C84D16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9F31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 довкілля в районі планованої діяльності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E4299" w:rsidRPr="0004010A" w:rsidRDefault="008E4299" w:rsidP="008E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відомчих </w:t>
      </w:r>
      <w:r w:rsidR="007C783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фондових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даних щодо </w:t>
      </w:r>
      <w:r w:rsidR="009F31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морфометричних та гідрологічних параметрів </w:t>
      </w:r>
      <w:r w:rsidR="00C84D16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рукавів дельти</w:t>
      </w:r>
      <w:r w:rsidR="009F317E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узмор’я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8E4299" w:rsidRPr="0004010A" w:rsidRDefault="008E4299" w:rsidP="008E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прогнозування </w:t>
      </w:r>
      <w:r w:rsidR="007C783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оцінка імовірних наслідків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 стану довкілля</w:t>
      </w:r>
      <w:r w:rsidR="007C783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включаючи транскордонні аспекти,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783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здійсненні планованої діяльності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7C783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технічними альтернативами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C783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тому числі із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643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</w:t>
      </w:r>
      <w:r w:rsidR="007C7838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A6433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методів математичного моделювання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spacing w:before="120"/>
        <w:ind w:left="360" w:firstLine="34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з оцінки впливу на довкілля міститиме:</w:t>
      </w:r>
    </w:p>
    <w:p w:rsidR="008E4299" w:rsidRPr="0004010A" w:rsidRDefault="008E4299" w:rsidP="008E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 планованої діяльності, зокрема, місця провадження планованої діяльності; цілей планованої діяльності; опис основних характеристик планованої діяльності за сучасною схемою її здійснення та виправданими альтернативними варіантами з описом основних причин обрання запропонованого варіанта;</w:t>
      </w:r>
    </w:p>
    <w:p w:rsidR="008E4299" w:rsidRPr="0004010A" w:rsidRDefault="008E4299" w:rsidP="008E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опис факторів довкілля, які ймовірно зазнають впливу з боку планованої діяльності; </w:t>
      </w:r>
    </w:p>
    <w:p w:rsidR="008E4299" w:rsidRPr="0004010A" w:rsidRDefault="008E4299" w:rsidP="008E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опис поточного стану довкілля </w:t>
      </w:r>
      <w:r w:rsidR="00847359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здоров’я населення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існуючих умов здійснення діяльності;</w:t>
      </w:r>
    </w:p>
    <w:p w:rsidR="008E4299" w:rsidRPr="0004010A" w:rsidRDefault="008E4299" w:rsidP="008E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 ймовірного стану довкілля</w:t>
      </w:r>
      <w:r w:rsidR="00847359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здоров’я населення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здійсненні планованої діяльності за </w:t>
      </w:r>
      <w:r w:rsidR="00847359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 та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альтернативним варіантом;</w:t>
      </w:r>
    </w:p>
    <w:p w:rsidR="008E4299" w:rsidRPr="0004010A" w:rsidRDefault="008E4299" w:rsidP="008E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оцінку впливу планованої діяльності за варіантами на довкілля, зокрема, навколишнє водне та геологічне середовище, ґрунти, рослинний та тваринний світ, об’єкти природно-заповідного фонду</w:t>
      </w:r>
      <w:r w:rsidR="00847359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здоров’я населення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E4299" w:rsidRPr="0004010A" w:rsidRDefault="008E4299" w:rsidP="008E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оцінку ризиків для довкілля</w:t>
      </w:r>
      <w:r w:rsidR="00847359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здоров’я населення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через можливість виникнення надзвичайних ситуацій;</w:t>
      </w:r>
    </w:p>
    <w:p w:rsidR="008E4299" w:rsidRPr="0004010A" w:rsidRDefault="008E4299" w:rsidP="008E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 методів прогнозування, що використовувалися для оцінки впливів на довкілля;</w:t>
      </w:r>
    </w:p>
    <w:p w:rsidR="008E4299" w:rsidRPr="0004010A" w:rsidRDefault="008E4299" w:rsidP="008E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опис передбачених заходів, спрямованих на запобігання, відвернення, уникнення, зменшення, усунення значного негативного впливу на довкілля;</w:t>
      </w:r>
    </w:p>
    <w:p w:rsidR="008E4299" w:rsidRPr="0004010A" w:rsidRDefault="008E4299" w:rsidP="008E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стислий зміст програм моніторингу та контролю щодо впливу на довкілля під час провадження планованої діяльності;</w:t>
      </w:r>
    </w:p>
    <w:p w:rsidR="008E4299" w:rsidRPr="0004010A" w:rsidRDefault="008E4299" w:rsidP="008E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 нетехнічного характеру, розраховане на широку аудиторію.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spacing w:before="12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4299" w:rsidRDefault="008E4299" w:rsidP="008E4299">
      <w:pPr>
        <w:widowControl w:val="0"/>
        <w:autoSpaceDE w:val="0"/>
        <w:autoSpaceDN w:val="0"/>
        <w:adjustRightInd w:val="0"/>
        <w:spacing w:before="12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12. Процедура оцінки впливу на довкілля та можливості для участі в ній громадськості</w:t>
      </w:r>
    </w:p>
    <w:p w:rsidR="00D633A5" w:rsidRPr="0004010A" w:rsidRDefault="00D633A5" w:rsidP="00D633A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4299" w:rsidRPr="0004010A" w:rsidRDefault="008E4299" w:rsidP="001A57E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Планована суб’єктом господарювання діяльність може мати значний вплив на довкілля і, отже, підлягає оцінці впливу на довкілля відповідно до Закону України “Про оцінку впливу на довкілля”. Оцінка впливу на довкілля </w:t>
      </w:r>
      <w:r w:rsidR="00D63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процедура, що передбачає: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підготовку суб’єктом господарювання звіту з оцінки впливу на довкілля;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громадського обговорення планованої діяльності;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уповноваженим органом звіту з оцінки впливу на довкілля, будь-якої додаткової інформації, яку надає суб’єкт господарювання, а також інформації, отриманої від громадськості під час громадського обговорення, під час здійснення процедури оцінки транскордонного впливу, іншої інформації;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уповноваженим органом мотивованого висновку з оцінки впливу на довкілля, що враховує результати аналізу, передбаченого абзацом п’ятим цього пункту;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врахування висновку з оцінки впливу на довкілля у рішенні про провадження планованої діяльності, зазначеному у пункті 14 цього повідомлення.</w:t>
      </w:r>
    </w:p>
    <w:p w:rsidR="000124E0" w:rsidRPr="0004010A" w:rsidRDefault="000124E0" w:rsidP="001A57EE">
      <w:pPr>
        <w:widowControl w:val="0"/>
        <w:autoSpaceDE w:val="0"/>
        <w:autoSpaceDN w:val="0"/>
        <w:adjustRightInd w:val="0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висновку з оцінки впливу на довкілля уповноважений орган, виходячи з оцінки впливу на довкілля планованої діяльності, визначає допустимість чи обґрунтовує недопустимість провадження планованої діяльності та визначає екологічні умови її провадження.</w:t>
      </w:r>
    </w:p>
    <w:p w:rsidR="008E4299" w:rsidRPr="0004010A" w:rsidRDefault="008E4299" w:rsidP="001A57EE">
      <w:pPr>
        <w:widowControl w:val="0"/>
        <w:autoSpaceDE w:val="0"/>
        <w:autoSpaceDN w:val="0"/>
        <w:adjustRightInd w:val="0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діяльності.</w:t>
      </w:r>
    </w:p>
    <w:p w:rsidR="008E4299" w:rsidRPr="0004010A" w:rsidRDefault="008E4299" w:rsidP="001A57EE">
      <w:pPr>
        <w:widowControl w:val="0"/>
        <w:autoSpaceDE w:val="0"/>
        <w:autoSpaceDN w:val="0"/>
        <w:adjustRightInd w:val="0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Процедура оцінки впливу на довкілля передбачає право і можливості громадськості для участі у такій процедурі, зокрема на стадії обговорення обсягу досліджень та рівня деталізації інформації, що підлягає включенню до звіту з оцінки впливу на довкілля, а також на стадії розгляду уповноваженим органом поданого суб’єктом господарювання звіту з оцінки впливу на довкілля.</w:t>
      </w:r>
    </w:p>
    <w:p w:rsidR="008E4299" w:rsidRPr="0004010A" w:rsidRDefault="008E4299" w:rsidP="001A57EE">
      <w:pPr>
        <w:widowControl w:val="0"/>
        <w:autoSpaceDE w:val="0"/>
        <w:autoSpaceDN w:val="0"/>
        <w:adjustRightInd w:val="0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будь-які зауваження і пропозиції до звіту з оцінки впливу на довкілля та планованої діяльності, а також взяти участь у громадських слуханнях.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обговорення.</w:t>
      </w:r>
    </w:p>
    <w:p w:rsidR="008E4299" w:rsidRPr="0004010A" w:rsidRDefault="008E4299" w:rsidP="008E4299">
      <w:pPr>
        <w:widowControl w:val="0"/>
        <w:autoSpaceDE w:val="0"/>
        <w:autoSpaceDN w:val="0"/>
        <w:adjustRightInd w:val="0"/>
        <w:spacing w:before="12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4299" w:rsidRDefault="008E4299" w:rsidP="008E4299">
      <w:pPr>
        <w:widowControl w:val="0"/>
        <w:autoSpaceDE w:val="0"/>
        <w:autoSpaceDN w:val="0"/>
        <w:adjustRightInd w:val="0"/>
        <w:spacing w:before="12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/>
        </w:rPr>
        <w:t>13. Громадське обговорення обсягу досліджень та рівня деталізації інформації, що підлягає включенню до звіту з оцінки впливу на довкілля</w:t>
      </w:r>
    </w:p>
    <w:p w:rsidR="00D633A5" w:rsidRPr="0004010A" w:rsidRDefault="00D633A5" w:rsidP="00D633A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4299" w:rsidRPr="0004010A" w:rsidRDefault="008E4299" w:rsidP="001A57E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20 робочих днів з дня оприлюднення цього повідомлення на офіційному веб-сайті уповноваженого органу громадськість має право надати уповноваженому органу, зазначеному у пункті 15 цього повідомлення, зауваження і пропозиції до планованої діяльності, обсягу досліджень та рівня деталізації інформації, що підлягає включенню до звіту з оцінки впливу на довкілля. </w:t>
      </w:r>
    </w:p>
    <w:p w:rsidR="008E4299" w:rsidRPr="0004010A" w:rsidRDefault="008E4299" w:rsidP="001A57EE">
      <w:pPr>
        <w:widowControl w:val="0"/>
        <w:autoSpaceDE w:val="0"/>
        <w:autoSpaceDN w:val="0"/>
        <w:adjustRightInd w:val="0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Надаючи такі зауваження і пропозиції, вкажіть реєстраційний номер справи про оцінку впливу на довкілля планованої діяльності</w:t>
      </w:r>
      <w:r w:rsidRPr="0004010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Єдиному реєстрі з оцінки впливу на довкілля (зазначений на першій сторінці цього повідомлення). Це значно спростить процес реєстрації та розгляду Ваших зауважень і пропозицій. </w:t>
      </w:r>
    </w:p>
    <w:p w:rsidR="008E4299" w:rsidRPr="0004010A" w:rsidRDefault="008E4299" w:rsidP="001A57EE">
      <w:pPr>
        <w:widowControl w:val="0"/>
        <w:autoSpaceDE w:val="0"/>
        <w:autoSpaceDN w:val="0"/>
        <w:adjustRightInd w:val="0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отримання таких зауважень і пропозицій громадськості вони будуть розміщені в Єдиному реєстрі з оцінки впливу на довкілля та передані суб’єкту господарювання (протягом трьох робочих днів з дня їх отримання). Особи, що надають зауваження і пропозиції, своїм підписом засвідчують свою згоду на обробку їх персональних даних. Суб’єкт господарювання під час підготовки звіту з оцінки впливу на довкілля зобов’язаний врахувати повністю, врахувати частково або обґрунтовано відхилити зауваження і пропозиції громадськості, надані у процесі громадського обговорення обсягу досліджень та рівня деталізації інформації, що підлягає включенню до звіту з оцінки впливу на довкілля. Детальна інформація про це включається до звіту з оцінки впливу на довкілля. </w:t>
      </w:r>
    </w:p>
    <w:p w:rsidR="008E4299" w:rsidRPr="0004010A" w:rsidRDefault="008E4299" w:rsidP="008E4299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299" w:rsidRDefault="008E4299" w:rsidP="0057265C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Рішення про провадження планованої діяльності </w:t>
      </w:r>
    </w:p>
    <w:p w:rsidR="0057265C" w:rsidRDefault="0057265C" w:rsidP="0057265C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EC0" w:rsidRPr="0004010A" w:rsidRDefault="008F7EC0" w:rsidP="001A57E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законодавства рішенням про провадження даної планованої діяльності буде  дозвіл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видається органами державного архітектурно-будівельного контролю. </w:t>
      </w:r>
    </w:p>
    <w:p w:rsidR="008F7EC0" w:rsidRDefault="008F7EC0" w:rsidP="008E4299">
      <w:pPr>
        <w:spacing w:before="120"/>
        <w:ind w:right="-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3"/>
      <w:bookmarkEnd w:id="0"/>
    </w:p>
    <w:p w:rsidR="008E4299" w:rsidRPr="0004010A" w:rsidRDefault="008E4299" w:rsidP="008E4299">
      <w:pPr>
        <w:spacing w:before="120"/>
        <w:ind w:right="-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Усі зауваження і пропозиції громадськості до планованої діяльності, обсягу досліджень та рівня деталізації інформації, що підлягає включенню до звіту з оцінки впливу на довкілля, необхідно надсилати до </w:t>
      </w:r>
      <w:r w:rsidR="0067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оцінки впливу на довкілля Управління оцінки впливу на довкілля та стратегічної екологічної оцінки Міністерства енергетики та захисту довкілля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</w:t>
      </w:r>
      <w:r w:rsidRPr="000401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71059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03035</w:t>
      </w:r>
      <w:r w:rsidR="0067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</w:t>
      </w:r>
      <w:r w:rsidR="00671059"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</w:t>
      </w:r>
      <w:r w:rsidR="0067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Митрополита Василя Липківського, 35,</w:t>
      </w:r>
      <w:r w:rsidR="0067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е-</w:t>
      </w:r>
      <w:r w:rsidR="006710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7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6" w:history="1">
        <w:r w:rsidR="00671059" w:rsidRPr="004E562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OVD</w:t>
        </w:r>
        <w:r w:rsidR="00671059" w:rsidRPr="003D58E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71059" w:rsidRPr="004E562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menr</w:t>
        </w:r>
        <w:r w:rsidR="00671059" w:rsidRPr="003D58E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71059" w:rsidRPr="004E562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671059" w:rsidRPr="003D58E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71059" w:rsidRPr="004E562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</w:hyperlink>
      <w:r w:rsidR="00671059" w:rsidRPr="003D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059" w:rsidRPr="003D58ED">
        <w:t xml:space="preserve"> </w:t>
      </w:r>
      <w:hyperlink r:id="rId7" w:history="1">
        <w:r w:rsidR="00671059" w:rsidRPr="004E562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gladun@menr.gov.ua</w:t>
        </w:r>
      </w:hyperlink>
      <w:r w:rsidR="00671059" w:rsidRPr="003D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контактна особа: Гладун Євгеній Євгенійович, головний спеціалист відділу оцінки впливу на довкілля, 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 (044) 2</w:t>
      </w:r>
      <w:r w:rsidRPr="0004010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7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7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040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7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(044) 206-31-40.</w:t>
      </w:r>
    </w:p>
    <w:sectPr w:rsidR="008E4299" w:rsidRPr="0004010A" w:rsidSect="008E4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04"/>
    <w:multiLevelType w:val="hybridMultilevel"/>
    <w:tmpl w:val="448AC8B2"/>
    <w:lvl w:ilvl="0" w:tplc="1446459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4A99"/>
    <w:multiLevelType w:val="hybridMultilevel"/>
    <w:tmpl w:val="3FA86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B86399"/>
    <w:multiLevelType w:val="hybridMultilevel"/>
    <w:tmpl w:val="5FEEB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defaultTabStop w:val="708"/>
  <w:hyphenationZone w:val="425"/>
  <w:characterSpacingControl w:val="doNotCompress"/>
  <w:compat/>
  <w:rsids>
    <w:rsidRoot w:val="008E4299"/>
    <w:rsid w:val="00002658"/>
    <w:rsid w:val="000124E0"/>
    <w:rsid w:val="00013E60"/>
    <w:rsid w:val="000262D7"/>
    <w:rsid w:val="0004010A"/>
    <w:rsid w:val="0004560D"/>
    <w:rsid w:val="00081559"/>
    <w:rsid w:val="00081F7D"/>
    <w:rsid w:val="000C74CE"/>
    <w:rsid w:val="000D061F"/>
    <w:rsid w:val="000D1F43"/>
    <w:rsid w:val="000D64FF"/>
    <w:rsid w:val="000E4871"/>
    <w:rsid w:val="00117EF4"/>
    <w:rsid w:val="0016560C"/>
    <w:rsid w:val="001658A2"/>
    <w:rsid w:val="001713EB"/>
    <w:rsid w:val="00173CBA"/>
    <w:rsid w:val="00174232"/>
    <w:rsid w:val="00174300"/>
    <w:rsid w:val="0018233C"/>
    <w:rsid w:val="001A57EE"/>
    <w:rsid w:val="001A634F"/>
    <w:rsid w:val="001A7DCA"/>
    <w:rsid w:val="001E1E25"/>
    <w:rsid w:val="00205F93"/>
    <w:rsid w:val="00225A06"/>
    <w:rsid w:val="00231771"/>
    <w:rsid w:val="00235FA3"/>
    <w:rsid w:val="0024106C"/>
    <w:rsid w:val="0024427C"/>
    <w:rsid w:val="00263E9E"/>
    <w:rsid w:val="002660F8"/>
    <w:rsid w:val="002664A2"/>
    <w:rsid w:val="002668F3"/>
    <w:rsid w:val="002868C8"/>
    <w:rsid w:val="002938FE"/>
    <w:rsid w:val="002D1E2F"/>
    <w:rsid w:val="002D3BF7"/>
    <w:rsid w:val="002E56DA"/>
    <w:rsid w:val="002E7462"/>
    <w:rsid w:val="0035135F"/>
    <w:rsid w:val="003627EF"/>
    <w:rsid w:val="003754BB"/>
    <w:rsid w:val="003819B3"/>
    <w:rsid w:val="00382C76"/>
    <w:rsid w:val="00386DDC"/>
    <w:rsid w:val="00396F78"/>
    <w:rsid w:val="003D58ED"/>
    <w:rsid w:val="003D7A41"/>
    <w:rsid w:val="00403F7E"/>
    <w:rsid w:val="0041797D"/>
    <w:rsid w:val="004420F7"/>
    <w:rsid w:val="00450C9D"/>
    <w:rsid w:val="00472B29"/>
    <w:rsid w:val="004A068F"/>
    <w:rsid w:val="004A33EA"/>
    <w:rsid w:val="004D2B40"/>
    <w:rsid w:val="004E1FEA"/>
    <w:rsid w:val="00522EE1"/>
    <w:rsid w:val="00541DFD"/>
    <w:rsid w:val="00555B8D"/>
    <w:rsid w:val="0056673C"/>
    <w:rsid w:val="00567B5E"/>
    <w:rsid w:val="0057265C"/>
    <w:rsid w:val="00580622"/>
    <w:rsid w:val="005A2209"/>
    <w:rsid w:val="005A60F6"/>
    <w:rsid w:val="005B6083"/>
    <w:rsid w:val="00670C81"/>
    <w:rsid w:val="00671059"/>
    <w:rsid w:val="006A3575"/>
    <w:rsid w:val="006A3E1D"/>
    <w:rsid w:val="006B0C08"/>
    <w:rsid w:val="006B50AD"/>
    <w:rsid w:val="006C1403"/>
    <w:rsid w:val="006C2BA4"/>
    <w:rsid w:val="006D1AD7"/>
    <w:rsid w:val="006D1E4E"/>
    <w:rsid w:val="006E143E"/>
    <w:rsid w:val="006F3714"/>
    <w:rsid w:val="00710917"/>
    <w:rsid w:val="00725BFC"/>
    <w:rsid w:val="00727FC1"/>
    <w:rsid w:val="00730ECE"/>
    <w:rsid w:val="007521B9"/>
    <w:rsid w:val="00762674"/>
    <w:rsid w:val="00762B3D"/>
    <w:rsid w:val="007A1187"/>
    <w:rsid w:val="007A6433"/>
    <w:rsid w:val="007A7C1E"/>
    <w:rsid w:val="007C7838"/>
    <w:rsid w:val="007D3629"/>
    <w:rsid w:val="00824427"/>
    <w:rsid w:val="0084235E"/>
    <w:rsid w:val="00847359"/>
    <w:rsid w:val="0084760C"/>
    <w:rsid w:val="008637F5"/>
    <w:rsid w:val="0086491F"/>
    <w:rsid w:val="00872352"/>
    <w:rsid w:val="00877E02"/>
    <w:rsid w:val="00897FF3"/>
    <w:rsid w:val="008A6697"/>
    <w:rsid w:val="008C1CAB"/>
    <w:rsid w:val="008E4299"/>
    <w:rsid w:val="008F7EC0"/>
    <w:rsid w:val="00955B57"/>
    <w:rsid w:val="009632A9"/>
    <w:rsid w:val="009720C9"/>
    <w:rsid w:val="009810B4"/>
    <w:rsid w:val="009C0D78"/>
    <w:rsid w:val="009F317E"/>
    <w:rsid w:val="00A03B5C"/>
    <w:rsid w:val="00A10B53"/>
    <w:rsid w:val="00A4694F"/>
    <w:rsid w:val="00A7109E"/>
    <w:rsid w:val="00A8307A"/>
    <w:rsid w:val="00A906AB"/>
    <w:rsid w:val="00A97BD7"/>
    <w:rsid w:val="00AA73EF"/>
    <w:rsid w:val="00AA7D24"/>
    <w:rsid w:val="00AF27C7"/>
    <w:rsid w:val="00B3543A"/>
    <w:rsid w:val="00B52E84"/>
    <w:rsid w:val="00B709AD"/>
    <w:rsid w:val="00BC4D5D"/>
    <w:rsid w:val="00BD372C"/>
    <w:rsid w:val="00BF00CF"/>
    <w:rsid w:val="00BF4E85"/>
    <w:rsid w:val="00C13B27"/>
    <w:rsid w:val="00C6685F"/>
    <w:rsid w:val="00C72001"/>
    <w:rsid w:val="00C76BB2"/>
    <w:rsid w:val="00C82C7A"/>
    <w:rsid w:val="00C833D5"/>
    <w:rsid w:val="00C84D16"/>
    <w:rsid w:val="00CB4B4F"/>
    <w:rsid w:val="00CB509D"/>
    <w:rsid w:val="00CC604F"/>
    <w:rsid w:val="00CF4D63"/>
    <w:rsid w:val="00D04782"/>
    <w:rsid w:val="00D11FEB"/>
    <w:rsid w:val="00D53708"/>
    <w:rsid w:val="00D6157E"/>
    <w:rsid w:val="00D633A5"/>
    <w:rsid w:val="00D927BF"/>
    <w:rsid w:val="00DC5BD4"/>
    <w:rsid w:val="00DE2AAA"/>
    <w:rsid w:val="00DE75D5"/>
    <w:rsid w:val="00DE7CF1"/>
    <w:rsid w:val="00E03291"/>
    <w:rsid w:val="00E0739D"/>
    <w:rsid w:val="00E26576"/>
    <w:rsid w:val="00E637F9"/>
    <w:rsid w:val="00E75796"/>
    <w:rsid w:val="00E87F4D"/>
    <w:rsid w:val="00EC4E9E"/>
    <w:rsid w:val="00ED5335"/>
    <w:rsid w:val="00EF184F"/>
    <w:rsid w:val="00EF3955"/>
    <w:rsid w:val="00F01729"/>
    <w:rsid w:val="00F14A2C"/>
    <w:rsid w:val="00F23DE4"/>
    <w:rsid w:val="00F34067"/>
    <w:rsid w:val="00F437FA"/>
    <w:rsid w:val="00F4595D"/>
    <w:rsid w:val="00F62958"/>
    <w:rsid w:val="00F66C62"/>
    <w:rsid w:val="00F97313"/>
    <w:rsid w:val="00FA172F"/>
    <w:rsid w:val="00FD4329"/>
    <w:rsid w:val="00FD4E7F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7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062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622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7A7C1E"/>
    <w:pPr>
      <w:ind w:left="720"/>
      <w:contextualSpacing/>
    </w:pPr>
  </w:style>
  <w:style w:type="character" w:customStyle="1" w:styleId="rvts0">
    <w:name w:val="rvts0"/>
    <w:basedOn w:val="a0"/>
    <w:rsid w:val="0035135F"/>
  </w:style>
  <w:style w:type="character" w:customStyle="1" w:styleId="rvts9">
    <w:name w:val="rvts9"/>
    <w:basedOn w:val="a0"/>
    <w:rsid w:val="0035135F"/>
  </w:style>
  <w:style w:type="paragraph" w:customStyle="1" w:styleId="rvps17">
    <w:name w:val="rvps17"/>
    <w:basedOn w:val="a"/>
    <w:rsid w:val="00CF4D6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CF4D63"/>
  </w:style>
  <w:style w:type="paragraph" w:customStyle="1" w:styleId="rvps6">
    <w:name w:val="rvps6"/>
    <w:basedOn w:val="a"/>
    <w:rsid w:val="00CF4D6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F4D63"/>
  </w:style>
  <w:style w:type="paragraph" w:customStyle="1" w:styleId="1">
    <w:name w:val="Текст1"/>
    <w:basedOn w:val="a"/>
    <w:rsid w:val="00E637F9"/>
    <w:pPr>
      <w:widowControl w:val="0"/>
      <w:suppressAutoHyphens/>
      <w:spacing w:line="360" w:lineRule="auto"/>
      <w:ind w:firstLine="737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styleId="a4">
    <w:name w:val="Body Text"/>
    <w:basedOn w:val="a"/>
    <w:link w:val="a5"/>
    <w:rsid w:val="00C72001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720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671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062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622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7A7C1E"/>
    <w:pPr>
      <w:ind w:left="720"/>
      <w:contextualSpacing/>
    </w:pPr>
  </w:style>
  <w:style w:type="character" w:customStyle="1" w:styleId="rvts0">
    <w:name w:val="rvts0"/>
    <w:basedOn w:val="a0"/>
    <w:rsid w:val="0035135F"/>
  </w:style>
  <w:style w:type="character" w:customStyle="1" w:styleId="rvts9">
    <w:name w:val="rvts9"/>
    <w:basedOn w:val="a0"/>
    <w:rsid w:val="0035135F"/>
  </w:style>
  <w:style w:type="paragraph" w:customStyle="1" w:styleId="rvps17">
    <w:name w:val="rvps17"/>
    <w:basedOn w:val="a"/>
    <w:rsid w:val="00CF4D6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CF4D63"/>
  </w:style>
  <w:style w:type="paragraph" w:customStyle="1" w:styleId="rvps6">
    <w:name w:val="rvps6"/>
    <w:basedOn w:val="a"/>
    <w:rsid w:val="00CF4D6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F4D63"/>
  </w:style>
  <w:style w:type="paragraph" w:customStyle="1" w:styleId="1">
    <w:name w:val="Текст1"/>
    <w:basedOn w:val="a"/>
    <w:rsid w:val="00E637F9"/>
    <w:pPr>
      <w:widowControl w:val="0"/>
      <w:suppressAutoHyphens/>
      <w:spacing w:line="360" w:lineRule="auto"/>
      <w:ind w:firstLine="737"/>
    </w:pPr>
    <w:rPr>
      <w:rFonts w:ascii="Times New Roman" w:eastAsia="Times New Roman" w:hAnsi="Times New Roman" w:cs="Courier New"/>
      <w:kern w:val="1"/>
      <w:sz w:val="24"/>
      <w:szCs w:val="24"/>
      <w:lang w:eastAsia="ar-SA"/>
    </w:rPr>
  </w:style>
  <w:style w:type="paragraph" w:styleId="a4">
    <w:name w:val="Body Text"/>
    <w:basedOn w:val="a"/>
    <w:link w:val="a5"/>
    <w:rsid w:val="00C72001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7200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adun@men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D@menr.gov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20EDC-13F4-4309-BF90-448A07FF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Elena</cp:lastModifiedBy>
  <cp:revision>10</cp:revision>
  <cp:lastPrinted>2020-06-02T12:33:00Z</cp:lastPrinted>
  <dcterms:created xsi:type="dcterms:W3CDTF">2020-05-21T09:26:00Z</dcterms:created>
  <dcterms:modified xsi:type="dcterms:W3CDTF">2020-06-03T09:25:00Z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-1852759263</vt:i4>
  </property>
</Properties>
</file>