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rmal"/>
        <w:ind w:left="864"/>
        <w:jc w:val="left"/>
        <w:shd w:val="clear" w:color="auto" w:fill="FFFFFF"/>
      </w:pPr>
      <w:r>
        <w:rPr>
          <w:b/>
          <w:bCs/>
          <w:sz w:val="24"/>
          <w:szCs w:val="24"/>
          <w:lang w:val="en-US"/>
        </w:rPr>
        <w:t xml:space="preserve">Про </w:t>
      </w:r>
      <w:r>
        <w:rPr>
          <w:b/>
          <w:bCs/>
          <w:sz w:val="24"/>
          <w:szCs w:val="24"/>
          <w:lang w:val="en-US"/>
        </w:rPr>
        <w:t xml:space="preserve">стан</w:t>
      </w:r>
      <w:r>
        <w:rPr>
          <w:b/>
          <w:bCs/>
          <w:sz w:val="24"/>
          <w:szCs w:val="24"/>
          <w:lang w:val="en-US"/>
        </w:rPr>
        <w:t xml:space="preserve"> реалізації </w:t>
      </w:r>
      <w:r>
        <w:rPr>
          <w:b/>
          <w:bCs/>
          <w:sz w:val="24"/>
          <w:szCs w:val="24"/>
          <w:lang w:val="en-US"/>
        </w:rPr>
        <w:t xml:space="preserve">регіональної програми </w:t>
      </w:r>
      <w:r>
        <w:rPr>
          <w:b/>
          <w:bCs/>
          <w:sz w:val="24"/>
          <w:szCs w:val="24"/>
          <w:lang w:val="en-US"/>
        </w:rPr>
        <w:t xml:space="preserve"> «Питна вода Одеській області</w:t>
      </w:r>
      <w:r>
        <w:rPr>
          <w:b/>
          <w:bCs/>
          <w:sz w:val="24"/>
          <w:szCs w:val="24"/>
          <w:lang w:val="en-US"/>
        </w:rPr>
        <w:t xml:space="preserve">   2010-2013 року та до 2020 року»</w:t>
      </w:r>
      <w:r/>
    </w:p>
    <w:p>
      <w:pPr>
        <w:pStyle w:val="Normal"/>
        <w:ind w:left="22"/>
        <w:jc w:val="center"/>
        <w:shd w:val="clear" w:color="auto" w:fill="FFFFFF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</w:t>
      </w:r>
      <w:r>
        <w:rPr>
          <w:spacing w:val="0"/>
          <w:sz w:val="24"/>
          <w:szCs w:val="24"/>
          <w:lang w:val="en-US"/>
        </w:rPr>
        <w:t xml:space="preserve">Станом на </w:t>
      </w:r>
      <w:r>
        <w:rPr>
          <w:spacing w:val="0"/>
          <w:sz w:val="24"/>
          <w:szCs w:val="24"/>
          <w:lang w:val="en-US"/>
        </w:rPr>
        <w:t xml:space="preserve">11</w:t>
      </w:r>
      <w:r>
        <w:rPr>
          <w:spacing w:val="0"/>
          <w:sz w:val="24"/>
          <w:szCs w:val="24"/>
          <w:lang w:val="en-US"/>
        </w:rPr>
        <w:t xml:space="preserve">.</w:t>
      </w:r>
      <w:r>
        <w:rPr>
          <w:spacing w:val="0"/>
          <w:sz w:val="24"/>
          <w:szCs w:val="24"/>
          <w:lang w:val="en-US"/>
        </w:rPr>
        <w:t xml:space="preserve">11</w:t>
      </w:r>
      <w:r>
        <w:rPr>
          <w:spacing w:val="0"/>
          <w:sz w:val="24"/>
          <w:szCs w:val="24"/>
          <w:lang w:val="en-US"/>
        </w:rPr>
        <w:t xml:space="preserve">.201</w:t>
      </w:r>
      <w:r>
        <w:rPr>
          <w:spacing w:val="0"/>
          <w:sz w:val="24"/>
          <w:szCs w:val="24"/>
          <w:lang w:val="en-US"/>
        </w:rPr>
        <w:t xml:space="preserve">5</w:t>
      </w:r>
      <w:r>
        <w:rPr>
          <w:spacing w:val="0"/>
          <w:sz w:val="24"/>
          <w:szCs w:val="24"/>
          <w:lang w:val="en-US"/>
        </w:rPr>
        <w:t xml:space="preserve">р.</w:t>
      </w:r>
      <w:r/>
    </w:p>
    <w:p>
      <w:pPr>
        <w:pStyle w:val="Normal"/>
        <w:ind w:firstLine="727"/>
        <w:jc w:val="both"/>
        <w:spacing w:lineRule="exact" w:line="274"/>
        <w:shd w:val="clear" w:color="auto" w:fill="FFFFFF"/>
        <w:rPr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На підставі регіональної програми «Питна вода Одеській області» та враховуючи </w:t>
      </w:r>
      <w:r>
        <w:rPr>
          <w:spacing w:val="0"/>
          <w:sz w:val="24"/>
          <w:szCs w:val="24"/>
          <w:lang w:val="en-US"/>
        </w:rPr>
        <w:t xml:space="preserve">довголітню проблему району - відсутність якісної питної води в населених пунктах Ізмаїльського району, Ізмаїльською райдержадміністрацією було замовлено технічний висновок та генеральний план мереж водопостачання району в Одеському державному науково-дослідному інституті </w:t>
      </w:r>
      <w:r>
        <w:rPr>
          <w:sz w:val="24"/>
          <w:szCs w:val="24"/>
          <w:lang w:val="en-US"/>
        </w:rPr>
        <w:t xml:space="preserve">«Укрпівдендіпроводогосп». Відповідними фахівцями райдержадміністрації була розроблена районна програма «Питна вода Одеській області в Ізмаїльському районі на 2008-2020 рр..», яка була затв</w:t>
      </w:r>
      <w:r>
        <w:rPr>
          <w:sz w:val="24"/>
          <w:szCs w:val="24"/>
          <w:lang w:val="en-US"/>
        </w:rPr>
        <w:t xml:space="preserve">ерджена рішенням сесії районної </w:t>
      </w:r>
      <w:r>
        <w:rPr>
          <w:sz w:val="24"/>
          <w:szCs w:val="24"/>
          <w:lang w:val="en-US"/>
        </w:rPr>
        <w:t xml:space="preserve">ради № 282-</w:t>
      </w:r>
      <w:r>
        <w:rPr>
          <w:sz w:val="24"/>
          <w:szCs w:val="24"/>
          <w:lang w:val="en-US"/>
        </w:rPr>
        <w:t xml:space="preserve">V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від 12.01.2009 р. одною з перших в Одеській області</w:t>
      </w:r>
      <w:r>
        <w:rPr>
          <w:sz w:val="24"/>
          <w:szCs w:val="24"/>
          <w:lang w:val="en-US"/>
        </w:rPr>
        <w:t xml:space="preserve"> </w:t>
      </w:r>
      <w:r>
        <w:rPr>
          <w:spacing w:val="0"/>
          <w:sz w:val="24"/>
          <w:szCs w:val="24"/>
          <w:lang w:val="en-US"/>
        </w:rPr>
        <w:t xml:space="preserve">, </w:t>
      </w:r>
      <w:r>
        <w:rPr>
          <w:spacing w:val="0"/>
          <w:sz w:val="24"/>
          <w:szCs w:val="24"/>
          <w:lang w:val="en-US"/>
        </w:rPr>
        <w:t xml:space="preserve">та</w:t>
      </w:r>
      <w:r>
        <w:rPr>
          <w:spacing w:val="0"/>
          <w:sz w:val="24"/>
          <w:szCs w:val="24"/>
          <w:lang w:val="en-US"/>
        </w:rPr>
        <w:t xml:space="preserve"> листом № 01-17-2495/185 від 22.01.2009 р. була надіслана до Головного </w:t>
      </w:r>
      <w:r>
        <w:rPr>
          <w:sz w:val="24"/>
          <w:szCs w:val="24"/>
          <w:lang w:val="en-US"/>
        </w:rPr>
        <w:t xml:space="preserve">управління розвитку інфраструктури та енергозабезпечення Одеської обласної державної адміністрації. </w:t>
      </w:r>
      <w:r>
        <w:rPr>
          <w:sz w:val="24"/>
          <w:szCs w:val="24"/>
          <w:lang w:val="en-US"/>
        </w:rPr>
        <w:t xml:space="preserve">.</w:t>
      </w:r>
      <w:r/>
    </w:p>
    <w:p>
      <w:pPr>
        <w:pStyle w:val="Normal"/>
        <w:ind w:left="29" w:firstLine="713"/>
        <w:jc w:val="both"/>
        <w:spacing w:lineRule="exact" w:line="274"/>
        <w:shd w:val="clear" w:color="auto" w:fill="FFFFFF"/>
      </w:pPr>
      <w:r>
        <w:rPr>
          <w:spacing w:val="0"/>
          <w:sz w:val="24"/>
          <w:szCs w:val="24"/>
          <w:lang w:val="en-US"/>
        </w:rPr>
        <w:t xml:space="preserve">Реалізація програми передбачає поетапне та поступове проведення заходів</w:t>
      </w:r>
      <w:r>
        <w:rPr>
          <w:spacing w:val="0"/>
          <w:sz w:val="24"/>
          <w:szCs w:val="24"/>
          <w:lang w:val="en-US"/>
        </w:rPr>
        <w:t xml:space="preserve"> за роками</w:t>
      </w:r>
      <w:r>
        <w:rPr>
          <w:spacing w:val="0"/>
          <w:sz w:val="24"/>
          <w:szCs w:val="24"/>
          <w:lang w:val="en-US"/>
        </w:rPr>
        <w:t xml:space="preserve"> по наступним </w:t>
      </w:r>
      <w:r>
        <w:rPr>
          <w:sz w:val="24"/>
          <w:szCs w:val="24"/>
          <w:lang w:val="en-US"/>
        </w:rPr>
        <w:t xml:space="preserve">напрямкам:</w:t>
      </w:r>
      <w:r/>
    </w:p>
    <w:p>
      <w:pPr>
        <w:pStyle w:val="Normal"/>
        <w:numPr>
          <w:ilvl w:val="0"/>
          <w:numId w:val="1"/>
        </w:numPr>
        <w:ind w:left="1512" w:right="432" w:hanging="359"/>
        <w:jc w:val="both"/>
        <w:spacing w:lineRule="exact" w:line="274"/>
        <w:shd w:val="clear" w:color="auto" w:fill="FFFFFF"/>
        <w:tabs>
          <w:tab w:val="left" w:pos="1512"/>
        </w:tabs>
        <w:rPr>
          <w:spacing w:val="-28"/>
          <w:sz w:val="24"/>
          <w:szCs w:val="24"/>
          <w:lang w:val="en-US"/>
        </w:rPr>
      </w:pPr>
      <w:r>
        <w:rPr>
          <w:b/>
          <w:spacing w:val="0"/>
          <w:sz w:val="24"/>
          <w:szCs w:val="24"/>
          <w:lang w:val="en-US"/>
        </w:rPr>
        <w:t xml:space="preserve">ремонт існуючих водопровідних мереж, проведення робіт по проектуванню</w:t>
      </w:r>
      <w:r>
        <w:rPr>
          <w:b/>
          <w:spacing w:val="0"/>
          <w:sz w:val="24"/>
          <w:szCs w:val="24"/>
          <w:lang w:val="en-US"/>
        </w:rPr>
        <w:t xml:space="preserve"> НС та водогонів</w:t>
      </w:r>
      <w:r>
        <w:rPr>
          <w:b/>
          <w:spacing w:val="0"/>
          <w:sz w:val="24"/>
          <w:szCs w:val="24"/>
          <w:lang w:val="en-US"/>
        </w:rPr>
        <w:t xml:space="preserve"> на </w:t>
      </w:r>
      <w:r>
        <w:rPr>
          <w:b/>
          <w:sz w:val="24"/>
          <w:szCs w:val="24"/>
          <w:lang w:val="en-US"/>
        </w:rPr>
        <w:t xml:space="preserve">наступний рік (щорічно</w:t>
      </w:r>
      <w:r>
        <w:rPr>
          <w:sz w:val="24"/>
          <w:szCs w:val="24"/>
          <w:lang w:val="en-US"/>
        </w:rPr>
        <w:t xml:space="preserve">);</w:t>
      </w:r>
      <w:r/>
    </w:p>
    <w:p>
      <w:pPr>
        <w:pStyle w:val="Normal"/>
        <w:numPr>
          <w:ilvl w:val="0"/>
          <w:numId w:val="1"/>
        </w:numPr>
        <w:ind w:left="1512" w:hanging="359"/>
        <w:jc w:val="both"/>
        <w:spacing w:lineRule="exact" w:line="274"/>
        <w:shd w:val="clear" w:color="auto" w:fill="FFFFFF"/>
        <w:tabs>
          <w:tab w:val="left" w:pos="1512"/>
        </w:tabs>
        <w:rPr>
          <w:b/>
          <w:spacing w:val="-11"/>
          <w:sz w:val="24"/>
          <w:szCs w:val="24"/>
          <w:lang w:val="en-US"/>
        </w:rPr>
      </w:pPr>
      <w:r>
        <w:rPr>
          <w:b/>
          <w:spacing w:val="0"/>
          <w:sz w:val="24"/>
          <w:szCs w:val="24"/>
          <w:lang w:val="en-US"/>
        </w:rPr>
        <w:t xml:space="preserve">будівництво комплексу підземних водозабірних споруд в районі с. Матроска для </w:t>
      </w:r>
      <w:r>
        <w:rPr>
          <w:b/>
          <w:sz w:val="24"/>
          <w:szCs w:val="24"/>
          <w:lang w:val="en-US"/>
        </w:rPr>
        <w:t xml:space="preserve">забезпечення водою груп</w:t>
      </w:r>
      <w:r>
        <w:rPr>
          <w:b/>
          <w:sz w:val="24"/>
          <w:szCs w:val="24"/>
          <w:lang w:val="en-US"/>
        </w:rPr>
        <w:t xml:space="preserve">и </w:t>
      </w:r>
      <w:r>
        <w:rPr>
          <w:b/>
          <w:sz w:val="24"/>
          <w:szCs w:val="24"/>
          <w:lang w:val="en-US"/>
        </w:rPr>
        <w:t xml:space="preserve"> населених пунктів</w:t>
      </w:r>
      <w:r>
        <w:rPr>
          <w:b/>
          <w:sz w:val="24"/>
          <w:szCs w:val="24"/>
          <w:lang w:val="en-US"/>
        </w:rPr>
        <w:t xml:space="preserve"> західної та північної частини</w:t>
      </w:r>
      <w:r>
        <w:rPr>
          <w:b/>
          <w:sz w:val="24"/>
          <w:szCs w:val="24"/>
          <w:lang w:val="en-US"/>
        </w:rPr>
        <w:t xml:space="preserve"> району;</w:t>
      </w:r>
      <w:r/>
    </w:p>
    <w:p>
      <w:pPr>
        <w:pStyle w:val="Normal"/>
        <w:numPr>
          <w:ilvl w:val="0"/>
          <w:numId w:val="1"/>
        </w:numPr>
        <w:ind w:left="1512" w:hanging="359"/>
        <w:jc w:val="both"/>
        <w:spacing w:lineRule="exact" w:line="274"/>
        <w:shd w:val="clear" w:color="auto" w:fill="FFFFFF"/>
        <w:tabs>
          <w:tab w:val="left" w:pos="1512"/>
        </w:tabs>
        <w:rPr>
          <w:b/>
          <w:spacing w:val="-11"/>
          <w:sz w:val="24"/>
          <w:szCs w:val="24"/>
          <w:lang w:val="en-US"/>
        </w:rPr>
      </w:pPr>
      <w:r>
        <w:rPr>
          <w:b/>
          <w:spacing w:val="0"/>
          <w:sz w:val="24"/>
          <w:szCs w:val="24"/>
          <w:lang w:val="en-US"/>
        </w:rPr>
        <w:t xml:space="preserve">будівництво групового Суворівського водогону для забезпечення питною водою </w:t>
      </w:r>
      <w:r>
        <w:rPr>
          <w:b/>
          <w:sz w:val="24"/>
          <w:szCs w:val="24"/>
          <w:lang w:val="en-US"/>
        </w:rPr>
        <w:t xml:space="preserve">решти населених пунктів.</w:t>
      </w:r>
      <w:r/>
    </w:p>
    <w:p>
      <w:pPr>
        <w:pStyle w:val="Normal"/>
        <w:ind w:left="22" w:firstLine="713"/>
        <w:jc w:val="both"/>
        <w:spacing w:lineRule="exact" w:line="274"/>
        <w:shd w:val="clear" w:color="auto" w:fill="FFFFFF"/>
        <w:rPr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Програма розрахована на поетапну та поступову реалізацію заходів по рокам до 2020 р., та </w:t>
      </w:r>
      <w:r>
        <w:rPr>
          <w:sz w:val="24"/>
          <w:szCs w:val="24"/>
          <w:lang w:val="en-US"/>
        </w:rPr>
        <w:t xml:space="preserve">щорічне фінансування проектних робіт та будівництва.</w:t>
      </w:r>
      <w:r>
        <w:rPr>
          <w:sz w:val="24"/>
          <w:szCs w:val="24"/>
          <w:lang w:val="en-US"/>
        </w:rPr>
        <w:t xml:space="preserve"> Але </w:t>
      </w:r>
      <w:r>
        <w:rPr>
          <w:sz w:val="24"/>
          <w:szCs w:val="24"/>
          <w:lang w:val="en-US"/>
        </w:rPr>
        <w:t xml:space="preserve">з різних причин  </w:t>
      </w:r>
      <w:r>
        <w:rPr>
          <w:sz w:val="24"/>
          <w:szCs w:val="24"/>
          <w:lang w:val="en-US"/>
        </w:rPr>
        <w:t xml:space="preserve"> з 2008 року Програма в районі практично не діє</w:t>
      </w:r>
      <w:r>
        <w:rPr>
          <w:sz w:val="24"/>
          <w:szCs w:val="24"/>
          <w:lang w:val="en-US"/>
        </w:rPr>
        <w:t xml:space="preserve">.</w:t>
      </w:r>
      <w:r/>
    </w:p>
    <w:p>
      <w:pPr>
        <w:pStyle w:val="Normal"/>
        <w:ind w:firstLine="713"/>
        <w:jc w:val="both"/>
        <w:spacing w:lineRule="exact" w:line="274"/>
        <w:shd w:val="clear" w:color="auto" w:fill="FFFFFF"/>
        <w:rPr>
          <w:lang w:val="en-US"/>
        </w:rPr>
      </w:pPr>
      <w:r>
        <w:rPr>
          <w:sz w:val="24"/>
          <w:szCs w:val="24"/>
          <w:lang w:val="en-US"/>
        </w:rPr>
        <w:t xml:space="preserve">Районною програмою у 2009 р. передбачалося проведення капітального ремонту водопровідних мереж в с. Матроска. Броска. Багате на суму 2 млн. 173.800 тис. грн.. Проектом </w:t>
      </w:r>
      <w:r>
        <w:rPr>
          <w:spacing w:val="0"/>
          <w:sz w:val="24"/>
          <w:szCs w:val="24"/>
          <w:lang w:val="en-US"/>
        </w:rPr>
        <w:t xml:space="preserve">обласної програми була визначена сума на ремонт водопровідних мереж у вищезазначених селах </w:t>
      </w:r>
      <w:r>
        <w:rPr>
          <w:sz w:val="24"/>
          <w:szCs w:val="24"/>
          <w:lang w:val="en-US"/>
        </w:rPr>
        <w:t xml:space="preserve">- 800 тис. грн., рішенням обласної ради виділено 465 тис. грн.,   Фінансування робіт кошторисом </w:t>
      </w:r>
      <w:r>
        <w:rPr>
          <w:sz w:val="24"/>
          <w:szCs w:val="24"/>
          <w:lang w:val="en-US"/>
        </w:rPr>
        <w:t xml:space="preserve">було </w:t>
      </w:r>
      <w:r>
        <w:rPr>
          <w:sz w:val="24"/>
          <w:szCs w:val="24"/>
          <w:lang w:val="en-US"/>
        </w:rPr>
        <w:t xml:space="preserve">зведено до мінімуму.  </w:t>
      </w:r>
      <w:r/>
    </w:p>
    <w:p>
      <w:pPr>
        <w:pStyle w:val="Normal"/>
        <w:ind w:left="14" w:right="864" w:firstLine="713"/>
        <w:jc w:val="both"/>
        <w:spacing w:lineRule="exact" w:line="274"/>
        <w:shd w:val="clear" w:color="auto" w:fill="FFFFFF"/>
      </w:pPr>
      <w:r>
        <w:rPr>
          <w:spacing w:val="0"/>
          <w:sz w:val="24"/>
          <w:szCs w:val="24"/>
          <w:lang w:val="en-US"/>
        </w:rPr>
        <w:t xml:space="preserve">У 2009 р.</w:t>
      </w:r>
      <w:r>
        <w:rPr>
          <w:spacing w:val="0"/>
          <w:sz w:val="24"/>
          <w:szCs w:val="24"/>
          <w:lang w:val="en-US"/>
        </w:rPr>
        <w:t xml:space="preserve"> на</w:t>
      </w:r>
      <w:r>
        <w:rPr>
          <w:spacing w:val="0"/>
          <w:sz w:val="24"/>
          <w:szCs w:val="24"/>
          <w:lang w:val="en-US"/>
        </w:rPr>
        <w:t xml:space="preserve"> проектно-вишукувальні та проектні роботи по будівництву групового </w:t>
      </w:r>
      <w:r>
        <w:rPr>
          <w:spacing w:val="-1"/>
          <w:sz w:val="24"/>
          <w:szCs w:val="24"/>
          <w:lang w:val="en-US"/>
        </w:rPr>
        <w:t xml:space="preserve">Суворівського водогону рішенням Ізмаїльської райради було виділено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20</w:t>
      </w:r>
      <w:r>
        <w:rPr>
          <w:spacing w:val="-1"/>
          <w:sz w:val="24"/>
          <w:szCs w:val="24"/>
          <w:lang w:val="en-US"/>
        </w:rPr>
        <w:t xml:space="preserve"> тис. грн. Проектом переліку об’єктів у 2011році</w:t>
      </w:r>
      <w:r>
        <w:rPr>
          <w:spacing w:val="-1"/>
          <w:sz w:val="24"/>
          <w:szCs w:val="24"/>
          <w:lang w:val="en-US"/>
        </w:rPr>
        <w:t xml:space="preserve"> було </w:t>
      </w:r>
      <w:r>
        <w:rPr>
          <w:spacing w:val="-1"/>
          <w:sz w:val="24"/>
          <w:szCs w:val="24"/>
          <w:lang w:val="en-US"/>
        </w:rPr>
        <w:t xml:space="preserve"> передбачено виділення коштів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 xml:space="preserve">з обласного бюджету</w:t>
      </w:r>
      <w:r>
        <w:rPr>
          <w:spacing w:val="-1"/>
          <w:sz w:val="24"/>
          <w:szCs w:val="24"/>
          <w:lang w:val="en-US"/>
        </w:rPr>
        <w:t xml:space="preserve"> в сумі 2000.0 тис.грн. на корегування  проекту будівництва Суворівського групового водопроводу.</w:t>
      </w:r>
      <w:r/>
    </w:p>
    <w:p>
      <w:pPr>
        <w:pStyle w:val="Normal"/>
        <w:ind w:firstLine="727"/>
        <w:jc w:val="both"/>
        <w:spacing w:lineRule="exact" w:line="274"/>
        <w:shd w:val="clear" w:color="auto" w:fill="FFFFFF"/>
      </w:pPr>
      <w:r>
        <w:rPr>
          <w:spacing w:val="0"/>
          <w:sz w:val="24"/>
          <w:szCs w:val="24"/>
          <w:lang w:val="en-US"/>
        </w:rPr>
        <w:t xml:space="preserve">  Обласна Програма не враховує потреб району та ставить під загрозу реалізацію районної програми, яка листом № 01-17-2495/185 від 22.01.2009 р. була надіслана до Головного </w:t>
      </w:r>
      <w:r>
        <w:rPr>
          <w:sz w:val="24"/>
          <w:szCs w:val="24"/>
          <w:lang w:val="en-US"/>
        </w:rPr>
        <w:t xml:space="preserve">управління розвитку інфраструктури та енергозабезпечення Одеської обласної державної адміністрації.</w:t>
      </w:r>
      <w:r/>
    </w:p>
    <w:p>
      <w:pPr>
        <w:pStyle w:val="Normal"/>
        <w:ind w:left="14" w:firstLine="698"/>
        <w:jc w:val="both"/>
        <w:spacing w:lineRule="exact" w:line="274"/>
        <w:shd w:val="clear" w:color="auto" w:fill="FFFFFF"/>
      </w:pPr>
      <w:r>
        <w:rPr>
          <w:spacing w:val="0"/>
          <w:sz w:val="24"/>
          <w:szCs w:val="24"/>
          <w:lang w:val="en-US"/>
        </w:rPr>
        <w:t xml:space="preserve">Листом № 1699-ІУ/1582-09 від 02.09.2009 р. Ізмаїльська райдержадміністрація повідомила про розбіжності </w:t>
      </w:r>
      <w:r>
        <w:rPr>
          <w:sz w:val="24"/>
          <w:szCs w:val="24"/>
          <w:lang w:val="en-US"/>
        </w:rPr>
        <w:t xml:space="preserve">між</w:t>
      </w:r>
      <w:r>
        <w:rPr>
          <w:spacing w:val="0"/>
          <w:sz w:val="24"/>
          <w:szCs w:val="24"/>
          <w:lang w:val="en-US"/>
        </w:rPr>
        <w:t xml:space="preserve"> проектом обласної Програми та районною Програмою. Але, нажаль, </w:t>
      </w:r>
      <w:r>
        <w:rPr>
          <w:sz w:val="24"/>
          <w:szCs w:val="24"/>
          <w:lang w:val="en-US"/>
        </w:rPr>
        <w:t xml:space="preserve">відповіді на наші запитання та пропозиції ми не отримали.</w:t>
      </w:r>
      <w:r/>
    </w:p>
    <w:p>
      <w:pPr>
        <w:pStyle w:val="Normal"/>
        <w:ind w:left="22" w:firstLine="713"/>
        <w:jc w:val="both"/>
        <w:spacing w:lineRule="exact" w:line="274"/>
        <w:shd w:val="clear" w:color="auto" w:fill="FFFFFF"/>
      </w:pPr>
      <w:r>
        <w:rPr>
          <w:spacing w:val="0"/>
          <w:sz w:val="24"/>
          <w:szCs w:val="24"/>
          <w:lang w:val="en-US"/>
        </w:rPr>
        <w:t xml:space="preserve">Такий стан фінансування до Програми на обласному рівні ставить загрозу зриву реалізації </w:t>
      </w:r>
      <w:r>
        <w:rPr>
          <w:sz w:val="24"/>
          <w:szCs w:val="24"/>
          <w:lang w:val="en-US"/>
        </w:rPr>
        <w:t xml:space="preserve">районної Програми «Питна вода Одеській області в Ізмаїльському районі» на довгий та невизначений термін</w:t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. Розуміючи таке становище </w:t>
      </w:r>
      <w:r>
        <w:rPr>
          <w:sz w:val="24"/>
          <w:szCs w:val="24"/>
          <w:lang w:val="en-US"/>
        </w:rPr>
        <w:t xml:space="preserve">Ізмаїльською райдержадміністрацією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були </w:t>
      </w:r>
      <w:r>
        <w:rPr>
          <w:sz w:val="24"/>
          <w:szCs w:val="24"/>
          <w:lang w:val="en-US"/>
        </w:rPr>
        <w:t xml:space="preserve"> прий</w:t>
      </w:r>
      <w:r>
        <w:rPr>
          <w:sz w:val="24"/>
          <w:szCs w:val="24"/>
          <w:lang w:val="en-US"/>
        </w:rPr>
        <w:t xml:space="preserve">няті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рішення  щодо можливостей  для забезпечення населених пунктів </w:t>
      </w:r>
      <w:r>
        <w:rPr>
          <w:sz w:val="24"/>
          <w:szCs w:val="24"/>
          <w:lang w:val="en-US"/>
        </w:rPr>
        <w:t xml:space="preserve">питною</w:t>
      </w:r>
      <w:r>
        <w:rPr>
          <w:sz w:val="24"/>
          <w:szCs w:val="24"/>
          <w:lang w:val="en-US"/>
        </w:rPr>
        <w:t xml:space="preserve"> водою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наприклад: </w:t>
      </w:r>
      <w:r/>
    </w:p>
    <w:p>
      <w:pPr>
        <w:pStyle w:val="Normal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с. Кислиця ( будівництво локальної водоочисної станції</w:t>
      </w:r>
      <w:r>
        <w:rPr>
          <w:b/>
          <w:sz w:val="24"/>
          <w:szCs w:val="24"/>
          <w:lang w:val="en-US"/>
        </w:rPr>
        <w:t xml:space="preserve"> потужністю 50м. к</w:t>
      </w:r>
      <w:r>
        <w:rPr>
          <w:b/>
          <w:sz w:val="24"/>
          <w:szCs w:val="24"/>
          <w:lang w:val="en-US"/>
        </w:rPr>
        <w:t xml:space="preserve">у</w:t>
      </w:r>
      <w:r>
        <w:rPr>
          <w:b/>
          <w:sz w:val="24"/>
          <w:szCs w:val="24"/>
          <w:lang w:val="en-US"/>
        </w:rPr>
        <w:t xml:space="preserve">б. /доб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виконано у 2009 році</w:t>
      </w:r>
      <w:r>
        <w:rPr>
          <w:b/>
          <w:sz w:val="24"/>
          <w:szCs w:val="24"/>
          <w:lang w:val="en-US"/>
        </w:rPr>
        <w:t xml:space="preserve">;</w:t>
      </w:r>
      <w:r/>
    </w:p>
    <w:p>
      <w:pPr>
        <w:pStyle w:val="Normal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С. Стара Некрасівка (буріння артсвердловин та будівництво розвідних вуличних водопровідних мереж у 2011-2012роках);</w:t>
      </w:r>
      <w:r/>
    </w:p>
    <w:p>
      <w:pPr>
        <w:pStyle w:val="Normal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с. Першетравневе (буріння  артсвердловини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у 2011-2012 роках ,</w:t>
      </w:r>
      <w:r>
        <w:rPr>
          <w:b/>
          <w:sz w:val="24"/>
          <w:szCs w:val="24"/>
          <w:lang w:val="en-US"/>
        </w:rPr>
        <w:t xml:space="preserve">потребує добудови) </w:t>
      </w:r>
      <w:r>
        <w:rPr>
          <w:b/>
          <w:sz w:val="24"/>
          <w:szCs w:val="24"/>
          <w:lang w:val="en-US"/>
        </w:rPr>
        <w:t xml:space="preserve">;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с. Кирнички  (будівництво бювету та мереж);</w:t>
      </w:r>
      <w:r/>
    </w:p>
    <w:p>
      <w:pPr>
        <w:pStyle w:val="Normal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с. Ларжанка , Нова Некрасівка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(буріння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артсвердловин</w:t>
      </w:r>
      <w:r>
        <w:rPr>
          <w:b/>
          <w:sz w:val="24"/>
          <w:szCs w:val="24"/>
          <w:lang w:val="en-US"/>
        </w:rPr>
        <w:t xml:space="preserve"> для забезпечення якісною 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питною водою)</w:t>
      </w:r>
      <w:r/>
    </w:p>
    <w:p>
      <w:pPr>
        <w:pStyle w:val="Normal"/>
        <w:jc w:val="both"/>
        <w:tabs>
          <w:tab w:val="left" w:pos="3135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         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А</w:t>
      </w:r>
      <w:r>
        <w:rPr>
          <w:sz w:val="24"/>
          <w:szCs w:val="24"/>
          <w:lang w:val="en-US"/>
        </w:rPr>
        <w:t xml:space="preserve">ле через відсутність коштів в місцевих</w:t>
      </w:r>
      <w:r>
        <w:rPr>
          <w:sz w:val="24"/>
          <w:szCs w:val="24"/>
          <w:lang w:val="en-US"/>
        </w:rPr>
        <w:t xml:space="preserve"> та районному </w:t>
      </w:r>
      <w:r>
        <w:rPr>
          <w:sz w:val="24"/>
          <w:szCs w:val="24"/>
          <w:lang w:val="en-US"/>
        </w:rPr>
        <w:t xml:space="preserve"> бюджетах </w:t>
      </w:r>
      <w:r>
        <w:rPr>
          <w:sz w:val="24"/>
          <w:szCs w:val="24"/>
          <w:lang w:val="en-US"/>
        </w:rPr>
        <w:t xml:space="preserve">до теперішнього часу  не </w:t>
      </w:r>
      <w:r>
        <w:rPr>
          <w:sz w:val="24"/>
          <w:szCs w:val="24"/>
          <w:lang w:val="en-US"/>
        </w:rPr>
        <w:t xml:space="preserve">має можливості </w:t>
      </w:r>
      <w:r>
        <w:rPr>
          <w:sz w:val="24"/>
          <w:szCs w:val="24"/>
          <w:lang w:val="en-US"/>
        </w:rPr>
        <w:t xml:space="preserve">замов</w:t>
      </w:r>
      <w:r>
        <w:rPr>
          <w:sz w:val="24"/>
          <w:szCs w:val="24"/>
          <w:lang w:val="en-US"/>
        </w:rPr>
        <w:t xml:space="preserve">ити </w:t>
      </w:r>
      <w:r>
        <w:rPr>
          <w:sz w:val="24"/>
          <w:szCs w:val="24"/>
          <w:lang w:val="en-US"/>
        </w:rPr>
        <w:t xml:space="preserve"> проектно-кошторисн</w:t>
      </w:r>
      <w:r>
        <w:rPr>
          <w:sz w:val="24"/>
          <w:szCs w:val="24"/>
          <w:lang w:val="en-US"/>
        </w:rPr>
        <w:t xml:space="preserve">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документація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на окремі об’єкти.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/>
    </w:p>
    <w:p>
      <w:pPr>
        <w:pStyle w:val="Normal"/>
        <w:jc w:val="both"/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         Капітальний ремонт  водогону в с. Лощинівка від артсвердловини до водонапірної вежі в с. Лощинівка проводився у 2012</w:t>
      </w:r>
      <w:r>
        <w:rPr>
          <w:sz w:val="24"/>
          <w:szCs w:val="24"/>
          <w:lang w:val="en-US"/>
        </w:rPr>
        <w:t xml:space="preserve">-2013р</w:t>
      </w:r>
      <w:r>
        <w:rPr>
          <w:sz w:val="24"/>
          <w:szCs w:val="24"/>
          <w:lang w:val="en-US"/>
        </w:rPr>
        <w:t xml:space="preserve">р. за рахунок обласного бюджету за програмою соціально-економічного розвитку.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</w:t>
      </w:r>
      <w:r/>
    </w:p>
    <w:p>
      <w:pPr>
        <w:pStyle w:val="Normal"/>
        <w:jc w:val="both"/>
        <w:tabs>
          <w:tab w:val="left" w:pos="3135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На жаль , через брак коштів в обласному та державному бюджетах</w:t>
      </w:r>
      <w:r>
        <w:rPr>
          <w:sz w:val="24"/>
          <w:szCs w:val="24"/>
          <w:lang w:val="en-US"/>
        </w:rPr>
        <w:t xml:space="preserve"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а також </w:t>
      </w:r>
      <w:r>
        <w:rPr>
          <w:color w:val="000000"/>
          <w:spacing w:val="-1"/>
          <w:sz w:val="24"/>
          <w:szCs w:val="24"/>
          <w:lang w:val="en-US"/>
        </w:rPr>
        <w:t xml:space="preserve">через відсутність відповідних проектів, які би відповідали основним критеріям відбору та Порядку</w:t>
      </w:r>
      <w:r>
        <w:rPr>
          <w:bCs/>
          <w:color w:val="000000"/>
          <w:spacing w:val="-5"/>
          <w:sz w:val="26"/>
          <w:szCs w:val="26"/>
          <w:lang w:val="en-US"/>
        </w:rPr>
        <w:t xml:space="preserve"> </w:t>
      </w:r>
      <w:r>
        <w:rPr>
          <w:bCs/>
          <w:color w:val="000000"/>
          <w:spacing w:val="-5"/>
          <w:sz w:val="26"/>
          <w:szCs w:val="26"/>
          <w:lang w:val="en-US"/>
        </w:rPr>
        <w:t xml:space="preserve">використання коштів,</w:t>
      </w:r>
      <w:r>
        <w:rPr>
          <w:color w:val="000000"/>
          <w:spacing w:val="-1"/>
          <w:sz w:val="24"/>
          <w:szCs w:val="24"/>
          <w:lang w:val="en-US"/>
        </w:rPr>
        <w:t xml:space="preserve">  у</w:t>
      </w:r>
      <w:r>
        <w:rPr>
          <w:color w:val="000000"/>
          <w:spacing w:val="-1"/>
          <w:sz w:val="24"/>
          <w:szCs w:val="24"/>
          <w:lang w:val="en-US"/>
        </w:rPr>
        <w:t xml:space="preserve"> 201</w:t>
      </w:r>
      <w:r>
        <w:rPr>
          <w:color w:val="000000"/>
          <w:spacing w:val="-1"/>
          <w:sz w:val="24"/>
          <w:szCs w:val="24"/>
          <w:lang w:val="en-US"/>
        </w:rPr>
        <w:t xml:space="preserve">0</w:t>
      </w:r>
      <w:r>
        <w:rPr>
          <w:color w:val="000000"/>
          <w:spacing w:val="-1"/>
          <w:sz w:val="24"/>
          <w:szCs w:val="24"/>
          <w:lang w:val="en-US"/>
        </w:rPr>
        <w:t xml:space="preserve"> -201</w:t>
      </w:r>
      <w:r>
        <w:rPr>
          <w:color w:val="000000"/>
          <w:spacing w:val="-1"/>
          <w:sz w:val="24"/>
          <w:szCs w:val="24"/>
          <w:lang w:val="en-US"/>
        </w:rPr>
        <w:t xml:space="preserve">5</w:t>
      </w:r>
      <w:r>
        <w:rPr>
          <w:color w:val="000000"/>
          <w:spacing w:val="-1"/>
          <w:sz w:val="24"/>
          <w:szCs w:val="24"/>
          <w:lang w:val="en-US"/>
        </w:rPr>
        <w:t xml:space="preserve">роках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 фінансування об’єктів в Ізмаїльському районі з обласного та державного бюджетів  за Загальнодержавною цільовою</w:t>
      </w:r>
      <w:r>
        <w:rPr>
          <w:color w:val="000000"/>
          <w:spacing w:val="-1"/>
          <w:sz w:val="24"/>
          <w:szCs w:val="24"/>
          <w:lang w:val="en-US"/>
        </w:rPr>
        <w:t xml:space="preserve"> програмою</w:t>
      </w:r>
      <w:r>
        <w:rPr>
          <w:b/>
          <w:color w:val="000000"/>
          <w:spacing w:val="-1"/>
          <w:sz w:val="24"/>
          <w:szCs w:val="24"/>
          <w:lang w:val="en-US"/>
        </w:rPr>
        <w:t xml:space="preserve">  </w:t>
      </w:r>
      <w:r>
        <w:rPr>
          <w:bCs/>
          <w:color w:val="000000"/>
          <w:spacing w:val="-5"/>
          <w:sz w:val="26"/>
          <w:szCs w:val="26"/>
          <w:lang w:val="en-US"/>
        </w:rPr>
        <w:t xml:space="preserve">«Питна вода України» не </w:t>
      </w:r>
      <w:r>
        <w:rPr>
          <w:b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передбач</w:t>
      </w:r>
      <w:r>
        <w:rPr>
          <w:color w:val="000000"/>
          <w:spacing w:val="-1"/>
          <w:sz w:val="24"/>
          <w:szCs w:val="24"/>
          <w:lang w:val="en-US"/>
        </w:rPr>
        <w:t xml:space="preserve">алося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Головний спеціаліст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в</w:t>
      </w:r>
      <w:r>
        <w:rPr>
          <w:sz w:val="24"/>
          <w:szCs w:val="24"/>
          <w:lang w:val="en-US"/>
        </w:rPr>
        <w:t xml:space="preserve">ідділу</w:t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капітального будівництва</w:t>
      </w:r>
      <w:r>
        <w:rPr>
          <w:sz w:val="24"/>
          <w:szCs w:val="24"/>
          <w:lang w:val="en-US"/>
        </w:rPr>
        <w:t xml:space="preserve">                                                         Вітков В.П.</w:t>
      </w:r>
      <w:r/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/>
    </w:p>
    <w:sectPr>
      <w:type w:val="nextPage"/>
      <w:pgSz w:w="11906" w:h="16838"/>
      <w:pgMar w:top="719" w:right="850" w:bottom="1134" w:left="1701" w:gutter="0" w:header="708" w:footer="70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lvlText w:val="%1."/>
      <w:lvlJc w:val="left"/>
      <w:pPr>
        <w:pStyle w:val="Normal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numbering" w:styleId="10">
    <w:name w:val="No List"/>
    <w:uiPriority w:val="99"/>
    <w:semiHidden/>
    <w:unhideWhenUsed/>
  </w:style>
  <w:style w:type="paragraph" w:styleId="11">
    <w:name w:val="Heading 1"/>
    <w:basedOn w:val="Normal"/>
    <w:next w:val="Normal"/>
    <w:qFormat/>
    <w:uiPriority w:val="9"/>
    <w:rPr>
      <w:b/>
      <w:color w:val="000000"/>
      <w:sz w:val="48"/>
    </w:rPr>
    <w:pPr>
      <w:keepLines/>
      <w:keepNext/>
      <w:spacing w:after="0" w:before="480"/>
    </w:pPr>
  </w:style>
  <w:style w:type="paragraph" w:styleId="12">
    <w:name w:val="Heading 2"/>
    <w:basedOn w:val="Normal"/>
    <w:next w:val="Normal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</w:style>
  <w:style w:type="paragraph" w:styleId="13">
    <w:name w:val="Heading 3"/>
    <w:basedOn w:val="Normal"/>
    <w:next w:val="Normal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</w:style>
  <w:style w:type="paragraph" w:styleId="14">
    <w:name w:val="Heading 4"/>
    <w:basedOn w:val="Normal"/>
    <w:next w:val="Normal"/>
    <w:qFormat/>
    <w:uiPriority w:val="9"/>
    <w:unhideWhenUsed/>
    <w:rPr>
      <w:color w:val="232323"/>
      <w:sz w:val="32"/>
    </w:rPr>
    <w:pPr>
      <w:keepLines/>
      <w:keepNext/>
      <w:spacing w:after="0" w:before="200"/>
    </w:pPr>
  </w:style>
  <w:style w:type="paragraph" w:styleId="15">
    <w:name w:val="Heading 5"/>
    <w:basedOn w:val="Normal"/>
    <w:next w:val="Normal"/>
    <w:qFormat/>
    <w:uiPriority w:val="9"/>
    <w:unhideWhenUsed/>
    <w:rPr>
      <w:b/>
      <w:color w:val="444444"/>
      <w:sz w:val="28"/>
    </w:rPr>
    <w:pPr>
      <w:keepLines/>
      <w:keepNext/>
      <w:spacing w:after="0" w:before="200"/>
    </w:pPr>
  </w:style>
  <w:style w:type="paragraph" w:styleId="16">
    <w:name w:val="Heading 6"/>
    <w:basedOn w:val="Normal"/>
    <w:next w:val="Normal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</w:style>
  <w:style w:type="paragraph" w:styleId="17">
    <w:name w:val="Heading 7"/>
    <w:basedOn w:val="Normal"/>
    <w:next w:val="Normal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</w:style>
  <w:style w:type="paragraph" w:styleId="18">
    <w:name w:val="Heading 8"/>
    <w:basedOn w:val="Normal"/>
    <w:next w:val="Normal"/>
    <w:qFormat/>
    <w:uiPriority w:val="9"/>
    <w:unhideWhenUsed/>
    <w:rPr>
      <w:color w:val="444444"/>
      <w:sz w:val="24"/>
    </w:rPr>
    <w:pPr>
      <w:keepLines/>
      <w:keepNext/>
      <w:spacing w:after="0" w:before="200"/>
    </w:pPr>
  </w:style>
  <w:style w:type="paragraph" w:styleId="19">
    <w:name w:val="Heading 9"/>
    <w:basedOn w:val="Normal"/>
    <w:next w:val="Normal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</w:style>
  <w:style w:type="paragraph" w:styleId="20">
    <w:name w:val="List Paragraph"/>
    <w:basedOn w:val="Normal"/>
    <w:qFormat/>
    <w:uiPriority w:val="34"/>
    <w:pPr>
      <w:contextualSpacing w:val="true"/>
      <w:ind w:left="720"/>
    </w:pPr>
  </w:style>
  <w:style w:type="table" w:styleId="21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Normal"/>
    <w:next w:val="Normal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Normal"/>
    <w:next w:val="Normal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Normal"/>
    <w:next w:val="Normal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Normal"/>
    <w:next w:val="Normal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Normal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Normal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31">
    <w:name w:val="Lin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styleId="32">
    <w:name w:val="Lin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33">
    <w:name w:val="Lin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34">
    <w:name w:val="Lin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35">
    <w:name w:val="Lin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36">
    <w:name w:val="Lin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37">
    <w:name w:val="Border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FBFBF" w:sz="4" w:space="0"/>
        <w:top w:val="single" w:color="BFBFBF" w:sz="4" w:space="0"/>
        <w:right w:val="single" w:color="BFBFBF" w:sz="4" w:space="0"/>
        <w:bottom w:val="single" w:color="BFBFBF" w:sz="4" w:space="0"/>
        <w:insideV w:val="single" w:color="BFBFBF" w:sz="4" w:space="0"/>
        <w:insideH w:val="single" w:color="BFBFBF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000000" w:sz="18" w:space="0"/>
        </w:tcBorders>
      </w:tcPr>
    </w:tblStylePr>
    <w:tblStylePr w:type="firstRow">
      <w:tcPr>
        <w:tcBorders>
          <w:bottom w:val="single" w:color="000000" w:sz="18" w:space="0"/>
        </w:tcBorders>
      </w:tcPr>
    </w:tblStylePr>
    <w:tblStylePr w:type="lastCol">
      <w:tcPr>
        <w:tcBorders>
          <w:left w:val="single" w:color="000000" w:sz="18" w:space="0"/>
        </w:tcBorders>
      </w:tcPr>
    </w:tblStylePr>
    <w:tblStylePr w:type="lastRow">
      <w:tcPr>
        <w:tcBorders>
          <w:top w:val="single" w:color="000000" w:sz="18" w:space="0"/>
        </w:tcBorders>
      </w:tcPr>
    </w:tblStylePr>
  </w:style>
  <w:style w:type="table" w:styleId="38">
    <w:name w:val="Border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65F91" w:sz="18" w:space="0"/>
        </w:tcBorders>
      </w:tcPr>
    </w:tblStylePr>
    <w:tblStylePr w:type="firstRow">
      <w:tcPr>
        <w:tcBorders>
          <w:bottom w:val="single" w:color="365F91" w:sz="18" w:space="0"/>
        </w:tcBorders>
      </w:tcPr>
    </w:tblStylePr>
    <w:tblStylePr w:type="lastCol">
      <w:tcPr>
        <w:tcBorders>
          <w:left w:val="single" w:color="365F91" w:sz="18" w:space="0"/>
        </w:tcBorders>
      </w:tcPr>
    </w:tblStylePr>
    <w:tblStylePr w:type="lastRow">
      <w:tcPr>
        <w:tcBorders>
          <w:top w:val="single" w:color="365F91" w:sz="18" w:space="0"/>
        </w:tcBorders>
      </w:tcPr>
    </w:tblStylePr>
  </w:style>
  <w:style w:type="table" w:styleId="39">
    <w:name w:val="Border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943634" w:sz="18" w:space="0"/>
        </w:tcBorders>
      </w:tcPr>
    </w:tblStylePr>
    <w:tblStylePr w:type="firstRow">
      <w:tcPr>
        <w:tcBorders>
          <w:bottom w:val="single" w:color="943634" w:sz="18" w:space="0"/>
        </w:tcBorders>
      </w:tcPr>
    </w:tblStylePr>
    <w:tblStylePr w:type="lastCol">
      <w:tcPr>
        <w:tcBorders>
          <w:left w:val="single" w:color="943634" w:sz="18" w:space="0"/>
        </w:tcBorders>
      </w:tcPr>
    </w:tblStylePr>
    <w:tblStylePr w:type="lastRow">
      <w:tcPr>
        <w:tcBorders>
          <w:top w:val="single" w:color="943634" w:sz="18" w:space="0"/>
        </w:tcBorders>
      </w:tcPr>
    </w:tblStylePr>
  </w:style>
  <w:style w:type="table" w:styleId="40">
    <w:name w:val="Border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76923C" w:sz="18" w:space="0"/>
        </w:tcBorders>
      </w:tcPr>
    </w:tblStylePr>
    <w:tblStylePr w:type="firstRow">
      <w:tcPr>
        <w:tcBorders>
          <w:bottom w:val="single" w:color="76923C" w:sz="18" w:space="0"/>
        </w:tcBorders>
      </w:tcPr>
    </w:tblStylePr>
    <w:tblStylePr w:type="lastCol">
      <w:tcPr>
        <w:tcBorders>
          <w:left w:val="single" w:color="76923C" w:sz="18" w:space="0"/>
        </w:tcBorders>
      </w:tcPr>
    </w:tblStylePr>
    <w:tblStylePr w:type="lastRow">
      <w:tcPr>
        <w:tcBorders>
          <w:top w:val="single" w:color="76923C" w:sz="18" w:space="0"/>
        </w:tcBorders>
      </w:tcPr>
    </w:tblStylePr>
  </w:style>
  <w:style w:type="table" w:styleId="41">
    <w:name w:val="Border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5F497A" w:sz="18" w:space="0"/>
        </w:tcBorders>
      </w:tcPr>
    </w:tblStylePr>
    <w:tblStylePr w:type="firstRow">
      <w:tcPr>
        <w:tcBorders>
          <w:bottom w:val="single" w:color="5F497A" w:sz="18" w:space="0"/>
        </w:tcBorders>
      </w:tcPr>
    </w:tblStylePr>
    <w:tblStylePr w:type="lastCol">
      <w:tcPr>
        <w:tcBorders>
          <w:left w:val="single" w:color="5F497A" w:sz="18" w:space="0"/>
        </w:tcBorders>
      </w:tcPr>
    </w:tblStylePr>
    <w:tblStylePr w:type="lastRow">
      <w:tcPr>
        <w:tcBorders>
          <w:top w:val="single" w:color="5F497A" w:sz="18" w:space="0"/>
        </w:tcBorders>
      </w:tcPr>
    </w:tblStylePr>
  </w:style>
  <w:style w:type="table" w:styleId="42">
    <w:name w:val="Border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1849B" w:sz="18" w:space="0"/>
        </w:tcBorders>
      </w:tcPr>
    </w:tblStylePr>
    <w:tblStylePr w:type="firstRow">
      <w:tcPr>
        <w:tcBorders>
          <w:bottom w:val="single" w:color="31849B" w:sz="18" w:space="0"/>
        </w:tcBorders>
      </w:tcPr>
    </w:tblStylePr>
    <w:tblStylePr w:type="lastCol">
      <w:tcPr>
        <w:tcBorders>
          <w:left w:val="single" w:color="31849B" w:sz="18" w:space="0"/>
        </w:tcBorders>
      </w:tcPr>
    </w:tblStylePr>
    <w:tblStylePr w:type="lastRow">
      <w:tcPr>
        <w:tcBorders>
          <w:top w:val="single" w:color="31849B" w:sz="18" w:space="0"/>
        </w:tcBorders>
      </w:tcPr>
    </w:tblStylePr>
  </w:style>
  <w:style w:type="table" w:styleId="43">
    <w:name w:val="Border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E36C0A" w:sz="18" w:space="0"/>
        </w:tcBorders>
      </w:tcPr>
    </w:tblStylePr>
    <w:tblStylePr w:type="firstRow">
      <w:tcPr>
        <w:tcBorders>
          <w:bottom w:val="single" w:color="E36C0A" w:sz="18" w:space="0"/>
        </w:tcBorders>
      </w:tcPr>
    </w:tblStylePr>
    <w:tblStylePr w:type="lastCol">
      <w:tcPr>
        <w:tcBorders>
          <w:left w:val="single" w:color="E36C0A" w:sz="18" w:space="0"/>
        </w:tcBorders>
      </w:tcPr>
    </w:tblStylePr>
    <w:tblStylePr w:type="lastRow">
      <w:tcPr>
        <w:tcBorders>
          <w:top w:val="single" w:color="E36C0A" w:sz="18" w:space="0"/>
        </w:tcBorders>
      </w:tcPr>
    </w:tblStylePr>
  </w:style>
  <w:style w:type="table" w:styleId="44">
    <w:name w:val="Bordered &amp; Lin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45">
    <w:name w:val="Bordered &amp; Lin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7365D" w:sz="4" w:space="0"/>
        <w:top w:val="single" w:color="17365D" w:sz="4" w:space="0"/>
        <w:right w:val="single" w:color="17365D" w:sz="4" w:space="0"/>
        <w:bottom w:val="single" w:color="17365D" w:sz="4" w:space="0"/>
        <w:insideV w:val="single" w:color="17365D" w:sz="4" w:space="0"/>
        <w:insideH w:val="single" w:color="17365D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styleId="46">
    <w:name w:val="Bordered &amp; Lin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43634" w:sz="4" w:space="0"/>
        <w:top w:val="single" w:color="943634" w:sz="4" w:space="0"/>
        <w:right w:val="single" w:color="943634" w:sz="4" w:space="0"/>
        <w:bottom w:val="single" w:color="943634" w:sz="4" w:space="0"/>
        <w:insideV w:val="single" w:color="943634" w:sz="4" w:space="0"/>
        <w:insideH w:val="single" w:color="94363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47">
    <w:name w:val="Bordered &amp; Lin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48">
    <w:name w:val="Bordered &amp; Lin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F497A" w:sz="4" w:space="0"/>
        <w:top w:val="single" w:color="5F497A" w:sz="4" w:space="0"/>
        <w:right w:val="single" w:color="5F497A" w:sz="4" w:space="0"/>
        <w:bottom w:val="single" w:color="5F497A" w:sz="4" w:space="0"/>
        <w:insideV w:val="single" w:color="5F497A" w:sz="4" w:space="0"/>
        <w:insideH w:val="single" w:color="5F497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49">
    <w:name w:val="Bordered &amp; Lin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50">
    <w:name w:val="Bordered &amp; Lin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numbering" w:default="1" w:styleId="52">
    <w:name w:val="GenStyleDefNum"/>
  </w:style>
  <w:style w:type="paragraph" w:default="1" w:styleId="53">
    <w:name w:val="GenStyleDefPar"/>
  </w:style>
  <w:style w:type="table" w:default="1" w:styleId="54">
    <w:name w:val="GenStyleDefTable"/>
    <w:tblPr>
      <w:tblStyleRowBandSize w:val="1"/>
      <w:tblStyleColBandSize w:val="1"/>
    </w:tblPr>
  </w:style>
  <w:style w:type="paragraph" w:styleId="Normal">
    <w:name w:val="Normal"/>
    <w:next w:val="Normal"/>
    <w:rPr>
      <w:lang w:val="ru-RU" w:bidi="ar-SA" w:eastAsia="ru-RU"/>
    </w:rPr>
    <w:pPr>
      <w:widowControl w:val="off"/>
    </w:pPr>
  </w:style>
  <w:style w:type="character" w:styleId="NormalCharacter">
    <w:name w:val="NormalCharacter"/>
    <w:next w:val="NormalCharacter"/>
    <w:semiHidden/>
  </w:style>
  <w:style w:type="table" w:styleId="TableNormal">
    <w:name w:val="TableNormal"/>
    <w:next w:val="TableNormal"/>
    <w:semiHidden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NormalList"/>
    <w:next w:val="NormalList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OnlyOffice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3.0000</AppVersion>
</Properties>
</file>

<file path=docProps/core.xml><?xml version="1.0" encoding="utf-8"?>
<cp:coreProperties xmlns:cp="http://schemas.openxmlformats.org/package/2006/metadata/core-properties" xmlns:dc="http://purl.org/dc/elements/1.1/">
  <dc:creator/>
  <cp:lastModifiedBy/>
</cp:coreProperties>
</file>